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60F6" w14:textId="3AA1E9FD" w:rsidR="00136637" w:rsidRDefault="0079482B" w:rsidP="00F7398B">
      <w:pPr>
        <w:jc w:val="both"/>
        <w:rPr>
          <w:rFonts w:ascii="Times New Roman" w:hAnsi="Times New Roman"/>
        </w:rPr>
      </w:pPr>
      <w:r w:rsidRPr="0079482B">
        <w:rPr>
          <w:rFonts w:ascii="Times New Roman" w:hAnsi="Times New Roman"/>
          <w:highlight w:val="yellow"/>
        </w:rPr>
        <w:t>Date</w:t>
      </w:r>
    </w:p>
    <w:p w14:paraId="5916B7CA" w14:textId="77777777" w:rsidR="00136637" w:rsidRDefault="00136637" w:rsidP="00F7398B">
      <w:pPr>
        <w:jc w:val="both"/>
        <w:rPr>
          <w:rFonts w:ascii="Times New Roman" w:hAnsi="Times New Roman"/>
        </w:rPr>
      </w:pPr>
    </w:p>
    <w:p w14:paraId="4C0293D7" w14:textId="6B92435F" w:rsidR="00136637" w:rsidRDefault="0079482B" w:rsidP="00136637">
      <w:pPr>
        <w:jc w:val="both"/>
        <w:rPr>
          <w:rFonts w:ascii="Calibri" w:eastAsiaTheme="minorHAnsi" w:hAnsi="Calibri" w:cs="Calibri"/>
          <w:sz w:val="22"/>
          <w:szCs w:val="22"/>
        </w:rPr>
      </w:pPr>
      <w:r w:rsidRPr="0079482B">
        <w:rPr>
          <w:rFonts w:ascii="Times New Roman" w:eastAsiaTheme="minorHAnsi" w:hAnsi="Times New Roman"/>
          <w:highlight w:val="yellow"/>
        </w:rPr>
        <w:t>Payer</w:t>
      </w:r>
      <w:r>
        <w:rPr>
          <w:rFonts w:ascii="Times New Roman" w:eastAsiaTheme="minorHAnsi" w:hAnsi="Times New Roman"/>
        </w:rPr>
        <w:t xml:space="preserve"> </w:t>
      </w:r>
    </w:p>
    <w:p w14:paraId="6AF940B9" w14:textId="77777777" w:rsidR="00136637" w:rsidRDefault="00136637" w:rsidP="00136637">
      <w:pPr>
        <w:jc w:val="both"/>
        <w:rPr>
          <w:rFonts w:ascii="Calibri" w:eastAsiaTheme="minorHAnsi" w:hAnsi="Calibri" w:cs="Calibri"/>
          <w:sz w:val="22"/>
          <w:szCs w:val="22"/>
        </w:rPr>
      </w:pPr>
    </w:p>
    <w:p w14:paraId="5D71408B" w14:textId="6C682F0E" w:rsidR="00F7398B" w:rsidRDefault="00F7398B" w:rsidP="00136637">
      <w:pPr>
        <w:jc w:val="both"/>
        <w:rPr>
          <w:rFonts w:ascii="Times New Roman" w:hAnsi="Times New Roman"/>
        </w:rPr>
      </w:pPr>
      <w:r>
        <w:rPr>
          <w:rFonts w:ascii="Times New Roman" w:hAnsi="Times New Roman"/>
        </w:rPr>
        <w:t xml:space="preserve">Dear </w:t>
      </w:r>
      <w:r w:rsidR="0079482B" w:rsidRPr="0079482B">
        <w:rPr>
          <w:rFonts w:ascii="Times New Roman" w:hAnsi="Times New Roman"/>
          <w:highlight w:val="yellow"/>
        </w:rPr>
        <w:t>Medical Director</w:t>
      </w:r>
      <w:r w:rsidR="00136637">
        <w:rPr>
          <w:rFonts w:ascii="Times New Roman" w:hAnsi="Times New Roman"/>
        </w:rPr>
        <w:t xml:space="preserve">, </w:t>
      </w:r>
    </w:p>
    <w:p w14:paraId="5CC60423" w14:textId="77777777" w:rsidR="00F7398B" w:rsidRDefault="00F7398B" w:rsidP="00F7398B">
      <w:pPr>
        <w:jc w:val="both"/>
        <w:rPr>
          <w:rFonts w:ascii="Times New Roman" w:hAnsi="Times New Roman"/>
        </w:rPr>
      </w:pPr>
    </w:p>
    <w:p w14:paraId="3399A548" w14:textId="436FE4E6" w:rsidR="00F7398B" w:rsidRDefault="00F7398B" w:rsidP="00F7398B">
      <w:pPr>
        <w:jc w:val="both"/>
        <w:rPr>
          <w:rFonts w:ascii="Times New Roman" w:hAnsi="Times New Roman"/>
        </w:rPr>
      </w:pPr>
      <w:r>
        <w:rPr>
          <w:rFonts w:ascii="Times New Roman" w:hAnsi="Times New Roman"/>
        </w:rPr>
        <w:t>The Food and Drug Administration approved fenestrated endograft repair in April 2012</w:t>
      </w:r>
      <w:r w:rsidR="004347A1">
        <w:rPr>
          <w:rFonts w:ascii="Times New Roman" w:hAnsi="Times New Roman"/>
        </w:rPr>
        <w:t xml:space="preserve">. </w:t>
      </w:r>
      <w:r>
        <w:rPr>
          <w:rFonts w:ascii="Times New Roman" w:hAnsi="Times New Roman"/>
        </w:rPr>
        <w:t>In response to denials of coverage and the growing application of the fenestrated endograft (FEVAR), the Health Policy Committee of the SVS submitted a</w:t>
      </w:r>
      <w:r w:rsidR="004347A1">
        <w:rPr>
          <w:rFonts w:ascii="Times New Roman" w:hAnsi="Times New Roman"/>
        </w:rPr>
        <w:t xml:space="preserve"> coding change proposal</w:t>
      </w:r>
      <w:r>
        <w:rPr>
          <w:rFonts w:ascii="Times New Roman" w:hAnsi="Times New Roman"/>
        </w:rPr>
        <w:t xml:space="preserve"> for conversion of FEVAR codes from Category III (technology) to Category </w:t>
      </w:r>
      <w:r w:rsidR="004347A1">
        <w:rPr>
          <w:rFonts w:ascii="Times New Roman" w:hAnsi="Times New Roman"/>
        </w:rPr>
        <w:t xml:space="preserve">I. </w:t>
      </w:r>
      <w:r>
        <w:rPr>
          <w:rFonts w:ascii="Times New Roman" w:hAnsi="Times New Roman"/>
        </w:rPr>
        <w:t>The CPT Editorial Panel approved conversion of 0078T-0081T to 34841-34848 to report fenestrated endograft repair of the upper abdominal aorta for CPT 2014</w:t>
      </w:r>
      <w:r w:rsidR="004347A1">
        <w:rPr>
          <w:rFonts w:ascii="Times New Roman" w:hAnsi="Times New Roman"/>
        </w:rPr>
        <w:t xml:space="preserve">. </w:t>
      </w:r>
    </w:p>
    <w:p w14:paraId="28668A95" w14:textId="77777777" w:rsidR="00F7398B" w:rsidRDefault="00F7398B" w:rsidP="00F7398B">
      <w:pPr>
        <w:jc w:val="both"/>
        <w:rPr>
          <w:rFonts w:ascii="Times New Roman" w:hAnsi="Times New Roman"/>
        </w:rPr>
      </w:pPr>
    </w:p>
    <w:p w14:paraId="00DF3E4A" w14:textId="44F9FB36" w:rsidR="00F7398B" w:rsidRDefault="00F7398B" w:rsidP="00F7398B">
      <w:pPr>
        <w:jc w:val="both"/>
        <w:rPr>
          <w:rFonts w:ascii="Times New Roman" w:hAnsi="Times New Roman"/>
        </w:rPr>
      </w:pPr>
      <w:r>
        <w:rPr>
          <w:rFonts w:ascii="Times New Roman" w:hAnsi="Times New Roman"/>
        </w:rPr>
        <w:t>While surveying these codes for valuation, it was recognized that considerable physician time is spent on device design and planning</w:t>
      </w:r>
      <w:r w:rsidR="004347A1">
        <w:rPr>
          <w:rFonts w:ascii="Times New Roman" w:hAnsi="Times New Roman"/>
        </w:rPr>
        <w:t xml:space="preserve">. </w:t>
      </w:r>
      <w:r>
        <w:rPr>
          <w:rFonts w:ascii="Times New Roman" w:hAnsi="Times New Roman"/>
        </w:rPr>
        <w:t>In response to the extensive pre-service endograft planning and sizing, the SVS submitted a new FEVAR Endograft Planning code 34839 for patient specific fenestrated aortic endograft sizing that was approved for CPT 2015</w:t>
      </w:r>
      <w:r w:rsidR="004347A1">
        <w:rPr>
          <w:rFonts w:ascii="Times New Roman" w:hAnsi="Times New Roman"/>
        </w:rPr>
        <w:t xml:space="preserve">. </w:t>
      </w:r>
    </w:p>
    <w:p w14:paraId="0F654D4A" w14:textId="77777777" w:rsidR="00F7398B" w:rsidRDefault="00F7398B" w:rsidP="00F7398B">
      <w:pPr>
        <w:jc w:val="both"/>
        <w:rPr>
          <w:rFonts w:ascii="Times New Roman" w:hAnsi="Times New Roman"/>
          <w:color w:val="1A1A1A"/>
        </w:rPr>
      </w:pPr>
    </w:p>
    <w:p w14:paraId="3C52D066" w14:textId="77777777" w:rsidR="00F7398B" w:rsidRDefault="00F7398B" w:rsidP="00F7398B">
      <w:pPr>
        <w:jc w:val="both"/>
        <w:rPr>
          <w:rFonts w:ascii="Times New Roman" w:hAnsi="Times New Roman"/>
        </w:rPr>
      </w:pPr>
      <w:r>
        <w:rPr>
          <w:rFonts w:ascii="Times New Roman" w:hAnsi="Times New Roman"/>
        </w:rPr>
        <w:t>As you may know, the AMA RUC utilizes a survey process to formulate work RVU recommendations for new codes. Unfortunately, our effort to survey the new FEVAR codes resulted in an inadequate response. In view of the RUC emphasis on adequate survey sample size, SVS recommended Carrier-Pricing be extended at least through 2015 for the FEVAR Planning and Procedures codes (34839 &amp; 34841-34848).</w:t>
      </w:r>
    </w:p>
    <w:p w14:paraId="5011A718" w14:textId="77777777" w:rsidR="00F7398B" w:rsidRDefault="00F7398B" w:rsidP="00F7398B">
      <w:pPr>
        <w:jc w:val="both"/>
        <w:rPr>
          <w:rFonts w:ascii="Times New Roman" w:hAnsi="Times New Roman"/>
          <w:color w:val="1A1A1A"/>
        </w:rPr>
      </w:pPr>
    </w:p>
    <w:p w14:paraId="50441132" w14:textId="08EF9BDC" w:rsidR="00F7398B" w:rsidRDefault="00F7398B" w:rsidP="00F7398B">
      <w:pPr>
        <w:jc w:val="both"/>
        <w:rPr>
          <w:rFonts w:ascii="Times New Roman" w:hAnsi="Times New Roman"/>
          <w:color w:val="1A1A1A"/>
        </w:rPr>
      </w:pPr>
      <w:r>
        <w:rPr>
          <w:rFonts w:ascii="Times New Roman" w:hAnsi="Times New Roman"/>
          <w:color w:val="1A1A1A"/>
        </w:rPr>
        <w:t>Carrier pricing may be variable depending upon the number of visceral/renal vessels included in the fenestrated repair as well as the need for other adjunctive maneuvers such as iliac conduit and extensive femoral artery reconstruction which are separately reportable</w:t>
      </w:r>
      <w:r w:rsidR="004347A1">
        <w:rPr>
          <w:rFonts w:ascii="Times New Roman" w:hAnsi="Times New Roman"/>
          <w:color w:val="1A1A1A"/>
        </w:rPr>
        <w:t xml:space="preserve">. </w:t>
      </w:r>
    </w:p>
    <w:p w14:paraId="5E547DF5" w14:textId="77777777" w:rsidR="00F7398B" w:rsidRDefault="00F7398B" w:rsidP="00F7398B">
      <w:pPr>
        <w:jc w:val="both"/>
        <w:rPr>
          <w:rFonts w:ascii="Times New Roman" w:hAnsi="Times New Roman"/>
          <w:color w:val="1A1A1A"/>
        </w:rPr>
      </w:pPr>
    </w:p>
    <w:p w14:paraId="6A711531" w14:textId="35C26769" w:rsidR="00F7398B" w:rsidRDefault="00F7398B" w:rsidP="00F7398B">
      <w:pPr>
        <w:jc w:val="both"/>
        <w:rPr>
          <w:rFonts w:ascii="Times New Roman" w:hAnsi="Times New Roman"/>
          <w:color w:val="1A1A1A"/>
        </w:rPr>
      </w:pPr>
      <w:r>
        <w:rPr>
          <w:rFonts w:ascii="Times New Roman" w:hAnsi="Times New Roman"/>
          <w:color w:val="1A1A1A"/>
        </w:rPr>
        <w:t xml:space="preserve">SVS suggests the following guidelines for carrier priced FEVAR as represented in the table </w:t>
      </w:r>
      <w:r w:rsidR="00915B8B">
        <w:rPr>
          <w:rFonts w:ascii="Times New Roman" w:hAnsi="Times New Roman"/>
          <w:color w:val="1A1A1A"/>
        </w:rPr>
        <w:t xml:space="preserve">attached. </w:t>
      </w:r>
      <w:r>
        <w:rPr>
          <w:rFonts w:ascii="Times New Roman" w:hAnsi="Times New Roman"/>
          <w:color w:val="1A1A1A"/>
        </w:rPr>
        <w:t>It uses a building block methodology to capture all of the steps included in these complex procedures. In addition, a surrogate value for the fenestrated main body stent was created by a blend of the codes for distal TEVAR extension and a proximal EVAR extension as this stent occupies the anatomy that lies between the two extensions</w:t>
      </w:r>
      <w:r w:rsidR="004347A1">
        <w:rPr>
          <w:rFonts w:ascii="Times New Roman" w:hAnsi="Times New Roman"/>
          <w:color w:val="1A1A1A"/>
        </w:rPr>
        <w:t xml:space="preserve">. </w:t>
      </w:r>
      <w:r>
        <w:rPr>
          <w:rFonts w:ascii="Times New Roman" w:hAnsi="Times New Roman"/>
          <w:color w:val="1A1A1A"/>
        </w:rPr>
        <w:t>A ble</w:t>
      </w:r>
      <w:r w:rsidR="00714254">
        <w:rPr>
          <w:rFonts w:ascii="Times New Roman" w:hAnsi="Times New Roman"/>
          <w:color w:val="1A1A1A"/>
        </w:rPr>
        <w:t>nd</w:t>
      </w:r>
      <w:r>
        <w:rPr>
          <w:rFonts w:ascii="Times New Roman" w:hAnsi="Times New Roman"/>
          <w:color w:val="1A1A1A"/>
        </w:rPr>
        <w:t>ed</w:t>
      </w:r>
      <w:r w:rsidR="00714254">
        <w:rPr>
          <w:rFonts w:ascii="Times New Roman" w:hAnsi="Times New Roman"/>
          <w:color w:val="1A1A1A"/>
        </w:rPr>
        <w:t xml:space="preserve"> S&amp;I code was also created with the same rationale</w:t>
      </w:r>
      <w:r w:rsidR="004347A1">
        <w:rPr>
          <w:rFonts w:ascii="Times New Roman" w:hAnsi="Times New Roman"/>
          <w:color w:val="1A1A1A"/>
        </w:rPr>
        <w:t xml:space="preserve">. </w:t>
      </w:r>
      <w:r>
        <w:rPr>
          <w:rFonts w:ascii="Times New Roman" w:hAnsi="Times New Roman"/>
          <w:color w:val="1A1A1A"/>
        </w:rPr>
        <w:t>Th</w:t>
      </w:r>
      <w:r w:rsidR="00ED6888">
        <w:rPr>
          <w:rFonts w:ascii="Times New Roman" w:hAnsi="Times New Roman"/>
          <w:color w:val="1A1A1A"/>
        </w:rPr>
        <w:t>is</w:t>
      </w:r>
      <w:r>
        <w:rPr>
          <w:rFonts w:ascii="Times New Roman" w:hAnsi="Times New Roman"/>
          <w:color w:val="1A1A1A"/>
        </w:rPr>
        <w:t xml:space="preserve"> combination of endovascular infrarenal aneurysm code and selective renal/visceral interventions depending upon number of vessels will serve as building blocks to base reimbursement until the FEVAR codes can be appropriately surveyed and valued.</w:t>
      </w:r>
    </w:p>
    <w:p w14:paraId="0F46D5F1" w14:textId="77777777" w:rsidR="00A33782" w:rsidRDefault="00A33782" w:rsidP="00F7398B">
      <w:pPr>
        <w:jc w:val="both"/>
        <w:rPr>
          <w:rFonts w:ascii="Times New Roman" w:hAnsi="Times New Roman"/>
          <w:color w:val="1A1A1A"/>
        </w:rPr>
      </w:pPr>
    </w:p>
    <w:p w14:paraId="2B8A2990" w14:textId="2C9F1201" w:rsidR="00A33782" w:rsidRDefault="00A33782" w:rsidP="00F7398B">
      <w:pPr>
        <w:jc w:val="both"/>
        <w:rPr>
          <w:rFonts w:ascii="Times New Roman" w:hAnsi="Times New Roman"/>
          <w:color w:val="1A1A1A"/>
        </w:rPr>
      </w:pPr>
      <w:r>
        <w:rPr>
          <w:rFonts w:ascii="Times New Roman" w:hAnsi="Times New Roman"/>
          <w:color w:val="1A1A1A"/>
        </w:rPr>
        <w:t xml:space="preserve">If you have any questions, please </w:t>
      </w:r>
      <w:r w:rsidR="004347A1">
        <w:rPr>
          <w:rFonts w:ascii="Times New Roman" w:hAnsi="Times New Roman"/>
          <w:color w:val="1A1A1A"/>
        </w:rPr>
        <w:t>do not</w:t>
      </w:r>
      <w:r>
        <w:rPr>
          <w:rFonts w:ascii="Times New Roman" w:hAnsi="Times New Roman"/>
          <w:color w:val="1A1A1A"/>
        </w:rPr>
        <w:t xml:space="preserve"> hesitate to contact me</w:t>
      </w:r>
      <w:proofErr w:type="gramStart"/>
      <w:r>
        <w:rPr>
          <w:rFonts w:ascii="Times New Roman" w:hAnsi="Times New Roman"/>
          <w:color w:val="1A1A1A"/>
        </w:rPr>
        <w:t xml:space="preserve">.  </w:t>
      </w:r>
      <w:proofErr w:type="gramEnd"/>
      <w:r>
        <w:rPr>
          <w:rFonts w:ascii="Times New Roman" w:hAnsi="Times New Roman"/>
          <w:color w:val="1A1A1A"/>
        </w:rPr>
        <w:t xml:space="preserve">I can be reached </w:t>
      </w:r>
      <w:r w:rsidRPr="0079482B">
        <w:rPr>
          <w:rFonts w:ascii="Times New Roman" w:hAnsi="Times New Roman"/>
          <w:color w:val="1A1A1A"/>
          <w:highlight w:val="yellow"/>
        </w:rPr>
        <w:t>at</w:t>
      </w:r>
      <w:r w:rsidR="0079482B" w:rsidRPr="0079482B">
        <w:rPr>
          <w:rFonts w:ascii="Times New Roman" w:hAnsi="Times New Roman"/>
          <w:color w:val="1A1A1A"/>
          <w:highlight w:val="yellow"/>
        </w:rPr>
        <w:t xml:space="preserve"> XXX</w:t>
      </w:r>
      <w:r w:rsidR="0079482B" w:rsidRPr="0079482B">
        <w:rPr>
          <w:highlight w:val="yellow"/>
        </w:rPr>
        <w:t>.</w:t>
      </w:r>
    </w:p>
    <w:p w14:paraId="1FE463C3" w14:textId="77777777" w:rsidR="00311EDA" w:rsidRDefault="00311EDA" w:rsidP="00F7398B">
      <w:pPr>
        <w:jc w:val="both"/>
        <w:rPr>
          <w:rFonts w:ascii="Times New Roman" w:hAnsi="Times New Roman"/>
          <w:color w:val="1A1A1A"/>
        </w:rPr>
      </w:pPr>
    </w:p>
    <w:p w14:paraId="556941B9" w14:textId="77777777" w:rsidR="00A33782" w:rsidRDefault="00A33782" w:rsidP="00F7398B">
      <w:pPr>
        <w:jc w:val="both"/>
        <w:rPr>
          <w:rFonts w:ascii="Times New Roman" w:hAnsi="Times New Roman"/>
          <w:color w:val="1A1A1A"/>
        </w:rPr>
      </w:pPr>
      <w:r>
        <w:rPr>
          <w:rFonts w:ascii="Times New Roman" w:hAnsi="Times New Roman"/>
          <w:color w:val="1A1A1A"/>
        </w:rPr>
        <w:t>Sincerely,</w:t>
      </w:r>
    </w:p>
    <w:p w14:paraId="7BA7E10E" w14:textId="3D18C78E" w:rsidR="00915B8B" w:rsidRDefault="00915B8B" w:rsidP="00F7398B">
      <w:pPr>
        <w:jc w:val="both"/>
        <w:rPr>
          <w:rFonts w:ascii="Times New Roman" w:hAnsi="Times New Roman"/>
          <w:color w:val="1A1A1A"/>
        </w:rPr>
      </w:pPr>
    </w:p>
    <w:p w14:paraId="1EBE324D" w14:textId="7AAC6694" w:rsidR="00136637" w:rsidRDefault="00136637" w:rsidP="00F7398B">
      <w:pPr>
        <w:jc w:val="both"/>
        <w:rPr>
          <w:rFonts w:ascii="Times New Roman" w:hAnsi="Times New Roman"/>
          <w:color w:val="1A1A1A"/>
        </w:rPr>
      </w:pPr>
    </w:p>
    <w:p w14:paraId="0308A777" w14:textId="77777777" w:rsidR="003E1ECA" w:rsidRDefault="003E1ECA" w:rsidP="00136637">
      <w:pPr>
        <w:rPr>
          <w:rFonts w:ascii="Times New Roman" w:hAnsi="Times New Roman"/>
          <w:color w:val="1A1A1A"/>
        </w:rPr>
      </w:pPr>
    </w:p>
    <w:p w14:paraId="54BF310B" w14:textId="56C21E8A" w:rsidR="00086721" w:rsidRDefault="00896F0F" w:rsidP="00920BBF">
      <w:pPr>
        <w:rPr>
          <w:rFonts w:ascii="Times New Roman" w:hAnsi="Times New Roman"/>
          <w:color w:val="1A1A1A"/>
        </w:rPr>
      </w:pPr>
      <w:r>
        <w:rPr>
          <w:rFonts w:ascii="Times New Roman" w:hAnsi="Times New Roman"/>
          <w:color w:val="1A1A1A"/>
        </w:rPr>
        <w:t xml:space="preserve">cc:  </w:t>
      </w:r>
      <w:r w:rsidR="00E4157A">
        <w:rPr>
          <w:rFonts w:ascii="Times New Roman" w:hAnsi="Times New Roman"/>
          <w:color w:val="1A1A1A"/>
        </w:rPr>
        <w:t>Dr. Ken Slaw</w:t>
      </w:r>
    </w:p>
    <w:p w14:paraId="701A77B6" w14:textId="426F6A51" w:rsidR="00AA5F43" w:rsidRDefault="00AA5F43" w:rsidP="00920BBF">
      <w:pPr>
        <w:rPr>
          <w:rFonts w:ascii="Times New Roman" w:hAnsi="Times New Roman"/>
          <w:color w:val="1A1A1A"/>
        </w:rPr>
      </w:pPr>
    </w:p>
    <w:p w14:paraId="219FBA5B" w14:textId="32184178" w:rsidR="00646037" w:rsidRDefault="00646037">
      <w:pPr>
        <w:spacing w:after="200" w:line="276" w:lineRule="auto"/>
        <w:rPr>
          <w:rFonts w:ascii="Times New Roman" w:hAnsi="Times New Roman"/>
          <w:color w:val="1A1A1A"/>
        </w:rPr>
      </w:pPr>
      <w:r>
        <w:rPr>
          <w:rFonts w:ascii="Times New Roman" w:hAnsi="Times New Roman"/>
          <w:color w:val="1A1A1A"/>
        </w:rPr>
        <w:br w:type="page"/>
      </w:r>
    </w:p>
    <w:tbl>
      <w:tblPr>
        <w:tblW w:w="10780" w:type="dxa"/>
        <w:tblLook w:val="04A0" w:firstRow="1" w:lastRow="0" w:firstColumn="1" w:lastColumn="0" w:noHBand="0" w:noVBand="1"/>
      </w:tblPr>
      <w:tblGrid>
        <w:gridCol w:w="839"/>
        <w:gridCol w:w="5417"/>
        <w:gridCol w:w="1056"/>
        <w:gridCol w:w="1206"/>
        <w:gridCol w:w="1056"/>
        <w:gridCol w:w="1206"/>
      </w:tblGrid>
      <w:tr w:rsidR="00646037" w:rsidRPr="00646037" w14:paraId="21F01403" w14:textId="77777777" w:rsidTr="00646037">
        <w:trPr>
          <w:trHeight w:val="612"/>
        </w:trPr>
        <w:tc>
          <w:tcPr>
            <w:tcW w:w="839" w:type="dxa"/>
            <w:vMerge w:val="restart"/>
            <w:tcBorders>
              <w:top w:val="single" w:sz="8" w:space="0" w:color="auto"/>
              <w:left w:val="single" w:sz="8" w:space="0" w:color="auto"/>
              <w:bottom w:val="nil"/>
              <w:right w:val="single" w:sz="8" w:space="0" w:color="auto"/>
            </w:tcBorders>
            <w:shd w:val="clear" w:color="000000" w:fill="A6A6A6"/>
            <w:noWrap/>
            <w:vAlign w:val="center"/>
            <w:hideMark/>
          </w:tcPr>
          <w:p w14:paraId="63AFC9A1"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lastRenderedPageBreak/>
              <w:t>CPT</w:t>
            </w:r>
          </w:p>
        </w:tc>
        <w:tc>
          <w:tcPr>
            <w:tcW w:w="5421" w:type="dxa"/>
            <w:vMerge w:val="restart"/>
            <w:tcBorders>
              <w:top w:val="single" w:sz="8" w:space="0" w:color="auto"/>
              <w:left w:val="single" w:sz="8" w:space="0" w:color="auto"/>
              <w:bottom w:val="nil"/>
              <w:right w:val="single" w:sz="8" w:space="0" w:color="auto"/>
            </w:tcBorders>
            <w:shd w:val="clear" w:color="000000" w:fill="A6A6A6"/>
            <w:noWrap/>
            <w:vAlign w:val="center"/>
            <w:hideMark/>
          </w:tcPr>
          <w:p w14:paraId="69D707F1"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LONG DESCRIPTOR</w:t>
            </w:r>
          </w:p>
        </w:tc>
        <w:tc>
          <w:tcPr>
            <w:tcW w:w="1057"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9589C50"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2020 Work RVU</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7719B41"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Multiple Procedure</w:t>
            </w:r>
            <w:r w:rsidRPr="00646037">
              <w:rPr>
                <w:rFonts w:ascii="Arial" w:eastAsia="Times New Roman" w:hAnsi="Arial" w:cs="Arial"/>
                <w:b/>
                <w:bCs/>
                <w:color w:val="000000"/>
                <w:sz w:val="18"/>
                <w:szCs w:val="18"/>
              </w:rPr>
              <w:br/>
              <w:t>Payment Adj Applied, If appropriate</w:t>
            </w:r>
          </w:p>
        </w:tc>
        <w:tc>
          <w:tcPr>
            <w:tcW w:w="1057"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C5DDF8F"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2020 Total Facility RVU</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8564DB5"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Multiple Procedure</w:t>
            </w:r>
            <w:r w:rsidRPr="00646037">
              <w:rPr>
                <w:rFonts w:ascii="Arial" w:eastAsia="Times New Roman" w:hAnsi="Arial" w:cs="Arial"/>
                <w:b/>
                <w:bCs/>
                <w:color w:val="000000"/>
                <w:sz w:val="18"/>
                <w:szCs w:val="18"/>
              </w:rPr>
              <w:br/>
              <w:t>Payment Adj Applied, If appropriate</w:t>
            </w:r>
          </w:p>
        </w:tc>
      </w:tr>
      <w:tr w:rsidR="00646037" w:rsidRPr="00646037" w14:paraId="12DFFFBC" w14:textId="77777777" w:rsidTr="00646037">
        <w:trPr>
          <w:trHeight w:val="600"/>
        </w:trPr>
        <w:tc>
          <w:tcPr>
            <w:tcW w:w="839" w:type="dxa"/>
            <w:vMerge/>
            <w:tcBorders>
              <w:top w:val="single" w:sz="8" w:space="0" w:color="auto"/>
              <w:left w:val="single" w:sz="8" w:space="0" w:color="auto"/>
              <w:bottom w:val="nil"/>
              <w:right w:val="single" w:sz="8" w:space="0" w:color="auto"/>
            </w:tcBorders>
            <w:vAlign w:val="center"/>
            <w:hideMark/>
          </w:tcPr>
          <w:p w14:paraId="123C894A" w14:textId="77777777" w:rsidR="00646037" w:rsidRPr="00646037" w:rsidRDefault="00646037" w:rsidP="00646037">
            <w:pPr>
              <w:rPr>
                <w:rFonts w:ascii="Arial" w:eastAsia="Times New Roman" w:hAnsi="Arial" w:cs="Arial"/>
                <w:b/>
                <w:bCs/>
                <w:color w:val="000000"/>
                <w:sz w:val="18"/>
                <w:szCs w:val="18"/>
              </w:rPr>
            </w:pPr>
          </w:p>
        </w:tc>
        <w:tc>
          <w:tcPr>
            <w:tcW w:w="5421" w:type="dxa"/>
            <w:vMerge/>
            <w:tcBorders>
              <w:top w:val="single" w:sz="8" w:space="0" w:color="auto"/>
              <w:left w:val="single" w:sz="8" w:space="0" w:color="auto"/>
              <w:bottom w:val="nil"/>
              <w:right w:val="single" w:sz="8" w:space="0" w:color="auto"/>
            </w:tcBorders>
            <w:vAlign w:val="center"/>
            <w:hideMark/>
          </w:tcPr>
          <w:p w14:paraId="376B9953" w14:textId="77777777" w:rsidR="00646037" w:rsidRPr="00646037" w:rsidRDefault="00646037" w:rsidP="00646037">
            <w:pPr>
              <w:rPr>
                <w:rFonts w:ascii="Arial" w:eastAsia="Times New Roman" w:hAnsi="Arial" w:cs="Arial"/>
                <w:b/>
                <w:bCs/>
                <w:color w:val="000000"/>
                <w:sz w:val="18"/>
                <w:szCs w:val="18"/>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14:paraId="35E5DCE5" w14:textId="77777777" w:rsidR="00646037" w:rsidRPr="00646037" w:rsidRDefault="00646037" w:rsidP="00646037">
            <w:pPr>
              <w:rPr>
                <w:rFonts w:ascii="Arial" w:eastAsia="Times New Roman" w:hAnsi="Arial" w:cs="Arial"/>
                <w:b/>
                <w:bCs/>
                <w:color w:val="000000"/>
                <w:sz w:val="18"/>
                <w:szCs w:val="18"/>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4E580B91" w14:textId="77777777" w:rsidR="00646037" w:rsidRPr="00646037" w:rsidRDefault="00646037" w:rsidP="00646037">
            <w:pPr>
              <w:rPr>
                <w:rFonts w:ascii="Arial" w:eastAsia="Times New Roman" w:hAnsi="Arial" w:cs="Arial"/>
                <w:b/>
                <w:bCs/>
                <w:color w:val="000000"/>
                <w:sz w:val="18"/>
                <w:szCs w:val="18"/>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14:paraId="22C0935E" w14:textId="77777777" w:rsidR="00646037" w:rsidRPr="00646037" w:rsidRDefault="00646037" w:rsidP="00646037">
            <w:pPr>
              <w:rPr>
                <w:rFonts w:ascii="Arial" w:eastAsia="Times New Roman" w:hAnsi="Arial" w:cs="Arial"/>
                <w:b/>
                <w:bCs/>
                <w:color w:val="000000"/>
                <w:sz w:val="18"/>
                <w:szCs w:val="18"/>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50E240E2" w14:textId="77777777" w:rsidR="00646037" w:rsidRPr="00646037" w:rsidRDefault="00646037" w:rsidP="00646037">
            <w:pPr>
              <w:rPr>
                <w:rFonts w:ascii="Arial" w:eastAsia="Times New Roman" w:hAnsi="Arial" w:cs="Arial"/>
                <w:b/>
                <w:bCs/>
                <w:color w:val="000000"/>
                <w:sz w:val="18"/>
                <w:szCs w:val="18"/>
              </w:rPr>
            </w:pPr>
          </w:p>
        </w:tc>
      </w:tr>
      <w:tr w:rsidR="00646037" w:rsidRPr="00646037" w14:paraId="2CE4F065"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36629CC6"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34841</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00252ABB"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one visceral artery endoprosthesis (superior mesenteric, celiac or renal artery)</w:t>
            </w:r>
          </w:p>
        </w:tc>
      </w:tr>
      <w:tr w:rsidR="00646037" w:rsidRPr="00646037" w14:paraId="6DCC668F" w14:textId="77777777" w:rsidTr="00646037">
        <w:trPr>
          <w:trHeight w:val="288"/>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65E72FD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nil"/>
              <w:bottom w:val="single" w:sz="4" w:space="0" w:color="auto"/>
              <w:right w:val="nil"/>
            </w:tcBorders>
            <w:shd w:val="clear" w:color="auto" w:fill="auto"/>
            <w:noWrap/>
            <w:vAlign w:val="center"/>
            <w:hideMark/>
          </w:tcPr>
          <w:p w14:paraId="7122B7C5"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single" w:sz="4" w:space="0" w:color="auto"/>
              <w:bottom w:val="single" w:sz="4" w:space="0" w:color="auto"/>
              <w:right w:val="nil"/>
            </w:tcBorders>
            <w:shd w:val="clear" w:color="auto" w:fill="auto"/>
            <w:noWrap/>
            <w:vAlign w:val="center"/>
            <w:hideMark/>
          </w:tcPr>
          <w:p w14:paraId="5BF1060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48808E4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057" w:type="dxa"/>
            <w:tcBorders>
              <w:top w:val="nil"/>
              <w:left w:val="single" w:sz="4" w:space="0" w:color="auto"/>
              <w:bottom w:val="single" w:sz="4" w:space="0" w:color="auto"/>
              <w:right w:val="nil"/>
            </w:tcBorders>
            <w:shd w:val="clear" w:color="auto" w:fill="auto"/>
            <w:noWrap/>
            <w:vAlign w:val="center"/>
            <w:hideMark/>
          </w:tcPr>
          <w:p w14:paraId="06DE6CC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1DFF7F8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r>
      <w:tr w:rsidR="00646037" w:rsidRPr="00646037" w14:paraId="777B96F1" w14:textId="77777777" w:rsidTr="00646037">
        <w:trPr>
          <w:trHeight w:val="288"/>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55877A3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nil"/>
              <w:bottom w:val="single" w:sz="4" w:space="0" w:color="auto"/>
              <w:right w:val="nil"/>
            </w:tcBorders>
            <w:shd w:val="clear" w:color="auto" w:fill="auto"/>
            <w:noWrap/>
            <w:vAlign w:val="center"/>
            <w:hideMark/>
          </w:tcPr>
          <w:p w14:paraId="4967F947"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single" w:sz="4" w:space="0" w:color="auto"/>
              <w:bottom w:val="single" w:sz="4" w:space="0" w:color="auto"/>
              <w:right w:val="nil"/>
            </w:tcBorders>
            <w:shd w:val="clear" w:color="auto" w:fill="auto"/>
            <w:noWrap/>
            <w:vAlign w:val="center"/>
            <w:hideMark/>
          </w:tcPr>
          <w:p w14:paraId="34D2F13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1B7C64F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0E3ACC2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00B694E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3B32EE20" w14:textId="77777777" w:rsidTr="00646037">
        <w:trPr>
          <w:trHeight w:val="699"/>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5B5A95C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nil"/>
              <w:bottom w:val="single" w:sz="4" w:space="0" w:color="auto"/>
              <w:right w:val="nil"/>
            </w:tcBorders>
            <w:shd w:val="clear" w:color="auto" w:fill="auto"/>
            <w:vAlign w:val="center"/>
            <w:hideMark/>
          </w:tcPr>
          <w:p w14:paraId="3D3022BF"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7AB1C91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117D1B3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0789604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3C3E403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76003373" w14:textId="77777777" w:rsidTr="00646037">
        <w:trPr>
          <w:trHeight w:val="1419"/>
        </w:trPr>
        <w:tc>
          <w:tcPr>
            <w:tcW w:w="839" w:type="dxa"/>
            <w:tcBorders>
              <w:top w:val="nil"/>
              <w:left w:val="single" w:sz="8" w:space="0" w:color="auto"/>
              <w:bottom w:val="double" w:sz="6" w:space="0" w:color="auto"/>
              <w:right w:val="single" w:sz="4" w:space="0" w:color="auto"/>
            </w:tcBorders>
            <w:shd w:val="clear" w:color="auto" w:fill="auto"/>
            <w:noWrap/>
            <w:vAlign w:val="center"/>
            <w:hideMark/>
          </w:tcPr>
          <w:p w14:paraId="2BE6218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nil"/>
              <w:bottom w:val="nil"/>
              <w:right w:val="nil"/>
            </w:tcBorders>
            <w:shd w:val="clear" w:color="auto" w:fill="auto"/>
            <w:vAlign w:val="center"/>
            <w:hideMark/>
          </w:tcPr>
          <w:p w14:paraId="36A14B6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single" w:sz="4" w:space="0" w:color="auto"/>
              <w:bottom w:val="nil"/>
              <w:right w:val="nil"/>
            </w:tcBorders>
            <w:shd w:val="clear" w:color="auto" w:fill="auto"/>
            <w:noWrap/>
            <w:vAlign w:val="center"/>
            <w:hideMark/>
          </w:tcPr>
          <w:p w14:paraId="64D7797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nil"/>
              <w:right w:val="nil"/>
            </w:tcBorders>
            <w:shd w:val="clear" w:color="auto" w:fill="auto"/>
            <w:noWrap/>
            <w:vAlign w:val="center"/>
            <w:hideMark/>
          </w:tcPr>
          <w:p w14:paraId="395B1D5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double" w:sz="6" w:space="0" w:color="auto"/>
              <w:right w:val="nil"/>
            </w:tcBorders>
            <w:shd w:val="clear" w:color="auto" w:fill="auto"/>
            <w:noWrap/>
            <w:vAlign w:val="center"/>
            <w:hideMark/>
          </w:tcPr>
          <w:p w14:paraId="7781C0B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nil"/>
              <w:right w:val="single" w:sz="8" w:space="0" w:color="auto"/>
            </w:tcBorders>
            <w:shd w:val="clear" w:color="auto" w:fill="auto"/>
            <w:noWrap/>
            <w:vAlign w:val="center"/>
            <w:hideMark/>
          </w:tcPr>
          <w:p w14:paraId="47CBF19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2A7E8CCF" w14:textId="77777777" w:rsidTr="00646037">
        <w:trPr>
          <w:trHeight w:val="312"/>
        </w:trPr>
        <w:tc>
          <w:tcPr>
            <w:tcW w:w="839" w:type="dxa"/>
            <w:tcBorders>
              <w:top w:val="nil"/>
              <w:left w:val="single" w:sz="8" w:space="0" w:color="auto"/>
              <w:bottom w:val="single" w:sz="8" w:space="0" w:color="auto"/>
              <w:right w:val="nil"/>
            </w:tcBorders>
            <w:shd w:val="clear" w:color="auto" w:fill="auto"/>
            <w:noWrap/>
            <w:vAlign w:val="center"/>
            <w:hideMark/>
          </w:tcPr>
          <w:p w14:paraId="00C2BDD0"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double" w:sz="6" w:space="0" w:color="auto"/>
              <w:left w:val="nil"/>
              <w:bottom w:val="single" w:sz="8" w:space="0" w:color="auto"/>
              <w:right w:val="nil"/>
            </w:tcBorders>
            <w:shd w:val="clear" w:color="auto" w:fill="auto"/>
            <w:noWrap/>
            <w:vAlign w:val="center"/>
            <w:hideMark/>
          </w:tcPr>
          <w:p w14:paraId="49F891EE" w14:textId="77777777" w:rsidR="00646037" w:rsidRPr="00646037" w:rsidRDefault="00646037" w:rsidP="00646037">
            <w:pPr>
              <w:rPr>
                <w:rFonts w:ascii="Calibri" w:eastAsia="Times New Roman" w:hAnsi="Calibri" w:cs="Calibri"/>
                <w:b/>
                <w:bCs/>
                <w:color w:val="000000"/>
                <w:sz w:val="22"/>
                <w:szCs w:val="22"/>
              </w:rPr>
            </w:pPr>
            <w:r w:rsidRPr="00646037">
              <w:rPr>
                <w:rFonts w:ascii="Calibri" w:eastAsia="Times New Roman" w:hAnsi="Calibri" w:cs="Calibri"/>
                <w:b/>
                <w:bCs/>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6003283C" w14:textId="77777777" w:rsidR="00646037" w:rsidRPr="00646037" w:rsidRDefault="00646037" w:rsidP="00646037">
            <w:pPr>
              <w:rPr>
                <w:rFonts w:ascii="Calibri" w:eastAsia="Times New Roman" w:hAnsi="Calibri" w:cs="Calibri"/>
                <w:b/>
                <w:bCs/>
                <w:color w:val="000000"/>
                <w:sz w:val="22"/>
                <w:szCs w:val="22"/>
              </w:rPr>
            </w:pPr>
            <w:r w:rsidRPr="00646037">
              <w:rPr>
                <w:rFonts w:ascii="Calibri" w:eastAsia="Times New Roman" w:hAnsi="Calibri" w:cs="Calibri"/>
                <w:b/>
                <w:bCs/>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742B63C1"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25.00</w:t>
            </w:r>
          </w:p>
        </w:tc>
        <w:tc>
          <w:tcPr>
            <w:tcW w:w="1057" w:type="dxa"/>
            <w:tcBorders>
              <w:top w:val="nil"/>
              <w:left w:val="single" w:sz="4" w:space="0" w:color="auto"/>
              <w:bottom w:val="single" w:sz="8" w:space="0" w:color="auto"/>
              <w:right w:val="nil"/>
            </w:tcBorders>
            <w:shd w:val="clear" w:color="auto" w:fill="auto"/>
            <w:noWrap/>
            <w:vAlign w:val="center"/>
            <w:hideMark/>
          </w:tcPr>
          <w:p w14:paraId="3F9EDAC6" w14:textId="77777777" w:rsidR="00646037" w:rsidRPr="00646037" w:rsidRDefault="00646037" w:rsidP="00646037">
            <w:pPr>
              <w:rPr>
                <w:rFonts w:ascii="Calibri" w:eastAsia="Times New Roman" w:hAnsi="Calibri" w:cs="Calibri"/>
                <w:b/>
                <w:bCs/>
                <w:color w:val="000000"/>
                <w:sz w:val="22"/>
                <w:szCs w:val="22"/>
              </w:rPr>
            </w:pPr>
            <w:r w:rsidRPr="00646037">
              <w:rPr>
                <w:rFonts w:ascii="Calibri" w:eastAsia="Times New Roman" w:hAnsi="Calibri" w:cs="Calibri"/>
                <w:b/>
                <w:bCs/>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4C3BBAEA"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37.89</w:t>
            </w:r>
          </w:p>
        </w:tc>
      </w:tr>
      <w:tr w:rsidR="00646037" w:rsidRPr="00646037" w14:paraId="006242D5" w14:textId="77777777" w:rsidTr="00646037">
        <w:trPr>
          <w:trHeight w:val="312"/>
        </w:trPr>
        <w:tc>
          <w:tcPr>
            <w:tcW w:w="839" w:type="dxa"/>
            <w:tcBorders>
              <w:top w:val="nil"/>
              <w:left w:val="nil"/>
              <w:bottom w:val="nil"/>
              <w:right w:val="nil"/>
            </w:tcBorders>
            <w:shd w:val="clear" w:color="auto" w:fill="auto"/>
            <w:noWrap/>
            <w:vAlign w:val="center"/>
            <w:hideMark/>
          </w:tcPr>
          <w:p w14:paraId="53ECA6F5" w14:textId="77777777"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38CDE2F7"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4D88EF07"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1946BC75"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49B890F9"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489E6A56" w14:textId="77777777" w:rsidR="00646037" w:rsidRPr="00646037" w:rsidRDefault="00646037" w:rsidP="00646037">
            <w:pPr>
              <w:rPr>
                <w:rFonts w:ascii="Times New Roman" w:eastAsia="Times New Roman" w:hAnsi="Times New Roman"/>
                <w:sz w:val="20"/>
                <w:szCs w:val="20"/>
              </w:rPr>
            </w:pPr>
          </w:p>
        </w:tc>
      </w:tr>
      <w:tr w:rsidR="00646037" w:rsidRPr="00646037" w14:paraId="38979789"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54AA93D5"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34842</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2EF643E6"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two visceral artery endoprostheses (superior mesenteric, celiac or renal artery)</w:t>
            </w:r>
          </w:p>
        </w:tc>
      </w:tr>
      <w:tr w:rsidR="00646037" w:rsidRPr="00646037" w14:paraId="355D7D32"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2A9D397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6CB243C6"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nil"/>
              <w:bottom w:val="single" w:sz="4" w:space="0" w:color="auto"/>
              <w:right w:val="nil"/>
            </w:tcBorders>
            <w:shd w:val="clear" w:color="auto" w:fill="auto"/>
            <w:noWrap/>
            <w:vAlign w:val="center"/>
            <w:hideMark/>
          </w:tcPr>
          <w:p w14:paraId="0DDEEFF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3CA8223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057" w:type="dxa"/>
            <w:tcBorders>
              <w:top w:val="nil"/>
              <w:left w:val="single" w:sz="4" w:space="0" w:color="auto"/>
              <w:bottom w:val="single" w:sz="4" w:space="0" w:color="auto"/>
              <w:right w:val="nil"/>
            </w:tcBorders>
            <w:shd w:val="clear" w:color="auto" w:fill="auto"/>
            <w:noWrap/>
            <w:vAlign w:val="center"/>
            <w:hideMark/>
          </w:tcPr>
          <w:p w14:paraId="1935186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24F7114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r>
      <w:tr w:rsidR="00646037" w:rsidRPr="00646037" w14:paraId="210894EC"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5E98C2C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257611EF"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nil"/>
              <w:bottom w:val="single" w:sz="4" w:space="0" w:color="auto"/>
              <w:right w:val="nil"/>
            </w:tcBorders>
            <w:shd w:val="clear" w:color="auto" w:fill="auto"/>
            <w:noWrap/>
            <w:vAlign w:val="center"/>
            <w:hideMark/>
          </w:tcPr>
          <w:p w14:paraId="3D9AC10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74EC4D7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2865785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57C7A4C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729554C6"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6145F18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534FD967"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39542CF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6D4D024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3E5E1B4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3B48CAB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154863C8"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65E213A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D190B3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34D122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5638191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4127E87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330D036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69753034"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1528AF9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lastRenderedPageBreak/>
              <w:t>37236</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54E44B8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nil"/>
              <w:bottom w:val="single" w:sz="4" w:space="0" w:color="auto"/>
              <w:right w:val="nil"/>
            </w:tcBorders>
            <w:shd w:val="clear" w:color="auto" w:fill="auto"/>
            <w:noWrap/>
            <w:vAlign w:val="center"/>
            <w:hideMark/>
          </w:tcPr>
          <w:p w14:paraId="5533666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2FECFCE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31AFD2B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413355F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6910737C" w14:textId="77777777" w:rsidTr="00646037">
        <w:trPr>
          <w:trHeight w:val="1620"/>
        </w:trPr>
        <w:tc>
          <w:tcPr>
            <w:tcW w:w="839" w:type="dxa"/>
            <w:tcBorders>
              <w:top w:val="nil"/>
              <w:left w:val="single" w:sz="8" w:space="0" w:color="auto"/>
              <w:bottom w:val="nil"/>
              <w:right w:val="nil"/>
            </w:tcBorders>
            <w:shd w:val="clear" w:color="auto" w:fill="auto"/>
            <w:noWrap/>
            <w:vAlign w:val="center"/>
            <w:hideMark/>
          </w:tcPr>
          <w:p w14:paraId="4FC72E6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double" w:sz="6" w:space="0" w:color="auto"/>
              <w:right w:val="single" w:sz="4" w:space="0" w:color="auto"/>
            </w:tcBorders>
            <w:shd w:val="clear" w:color="auto" w:fill="auto"/>
            <w:vAlign w:val="center"/>
            <w:hideMark/>
          </w:tcPr>
          <w:p w14:paraId="274D0F40"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nil"/>
              <w:right w:val="nil"/>
            </w:tcBorders>
            <w:shd w:val="clear" w:color="auto" w:fill="auto"/>
            <w:noWrap/>
            <w:vAlign w:val="center"/>
            <w:hideMark/>
          </w:tcPr>
          <w:p w14:paraId="524EC33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nil"/>
              <w:right w:val="nil"/>
            </w:tcBorders>
            <w:shd w:val="clear" w:color="auto" w:fill="auto"/>
            <w:noWrap/>
            <w:vAlign w:val="center"/>
            <w:hideMark/>
          </w:tcPr>
          <w:p w14:paraId="32A330C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399407E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nil"/>
              <w:right w:val="single" w:sz="8" w:space="0" w:color="auto"/>
            </w:tcBorders>
            <w:shd w:val="clear" w:color="auto" w:fill="auto"/>
            <w:noWrap/>
            <w:vAlign w:val="center"/>
            <w:hideMark/>
          </w:tcPr>
          <w:p w14:paraId="7F011F0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5397DD65"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372B465F"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12377AB0"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756A730C"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0FCC8DA5"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31.58</w:t>
            </w:r>
          </w:p>
        </w:tc>
        <w:tc>
          <w:tcPr>
            <w:tcW w:w="1057" w:type="dxa"/>
            <w:tcBorders>
              <w:top w:val="nil"/>
              <w:left w:val="single" w:sz="4" w:space="0" w:color="auto"/>
              <w:bottom w:val="single" w:sz="8" w:space="0" w:color="auto"/>
              <w:right w:val="nil"/>
            </w:tcBorders>
            <w:shd w:val="clear" w:color="auto" w:fill="auto"/>
            <w:noWrap/>
            <w:vAlign w:val="center"/>
            <w:hideMark/>
          </w:tcPr>
          <w:p w14:paraId="3562B734"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271B0B93"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47.51</w:t>
            </w:r>
          </w:p>
        </w:tc>
      </w:tr>
      <w:tr w:rsidR="00646037" w:rsidRPr="00646037" w14:paraId="7C450969" w14:textId="77777777" w:rsidTr="00646037">
        <w:trPr>
          <w:trHeight w:val="300"/>
        </w:trPr>
        <w:tc>
          <w:tcPr>
            <w:tcW w:w="839" w:type="dxa"/>
            <w:tcBorders>
              <w:top w:val="nil"/>
              <w:left w:val="nil"/>
              <w:bottom w:val="nil"/>
              <w:right w:val="nil"/>
            </w:tcBorders>
            <w:shd w:val="clear" w:color="auto" w:fill="auto"/>
            <w:noWrap/>
            <w:vAlign w:val="bottom"/>
            <w:hideMark/>
          </w:tcPr>
          <w:p w14:paraId="0415411D" w14:textId="77777777"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3E6FABB5"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5D1B251B"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756B5B4A"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329A27F6"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5EFBC86E" w14:textId="77777777" w:rsidR="00646037" w:rsidRPr="00646037" w:rsidRDefault="00646037" w:rsidP="00646037">
            <w:pPr>
              <w:rPr>
                <w:rFonts w:ascii="Times New Roman" w:eastAsia="Times New Roman" w:hAnsi="Times New Roman"/>
                <w:sz w:val="20"/>
                <w:szCs w:val="20"/>
              </w:rPr>
            </w:pPr>
          </w:p>
        </w:tc>
      </w:tr>
      <w:tr w:rsidR="00646037" w:rsidRPr="00646037" w14:paraId="74FCC7FA"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7F86FF18"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34843</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78F548F5"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three visceral artery endoprostheses (superior mesenteric, celiac or renal artery)</w:t>
            </w:r>
          </w:p>
        </w:tc>
      </w:tr>
      <w:tr w:rsidR="00646037" w:rsidRPr="00646037" w14:paraId="718F74A6"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2090AE1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69739453"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nil"/>
              <w:bottom w:val="single" w:sz="4" w:space="0" w:color="auto"/>
              <w:right w:val="nil"/>
            </w:tcBorders>
            <w:shd w:val="clear" w:color="auto" w:fill="auto"/>
            <w:noWrap/>
            <w:vAlign w:val="center"/>
            <w:hideMark/>
          </w:tcPr>
          <w:p w14:paraId="120E2A8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4482C9A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057" w:type="dxa"/>
            <w:tcBorders>
              <w:top w:val="nil"/>
              <w:left w:val="single" w:sz="4" w:space="0" w:color="auto"/>
              <w:bottom w:val="single" w:sz="4" w:space="0" w:color="auto"/>
              <w:right w:val="nil"/>
            </w:tcBorders>
            <w:shd w:val="clear" w:color="auto" w:fill="auto"/>
            <w:noWrap/>
            <w:vAlign w:val="center"/>
            <w:hideMark/>
          </w:tcPr>
          <w:p w14:paraId="687FA7A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044F4ED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r>
      <w:tr w:rsidR="00646037" w:rsidRPr="00646037" w14:paraId="32705BD9"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277B048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3568C0F9"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nil"/>
              <w:bottom w:val="single" w:sz="4" w:space="0" w:color="auto"/>
              <w:right w:val="nil"/>
            </w:tcBorders>
            <w:shd w:val="clear" w:color="auto" w:fill="auto"/>
            <w:noWrap/>
            <w:vAlign w:val="center"/>
            <w:hideMark/>
          </w:tcPr>
          <w:p w14:paraId="0EBFF0D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74864C0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5F1F9B0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5A8B70B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211AF6F1"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1B806A3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877F71B"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1D4F9DF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126B56A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3AE7592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5853C78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73228DEB"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22802E0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A7392E6"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2ED743C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13508C1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141B949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01213CB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262FEB82"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0FAB69F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3E0DA01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2BC29CD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6408D1A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4160E2A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3CE4878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0838AFFA"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176AAD2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72824DB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nil"/>
              <w:bottom w:val="single" w:sz="4" w:space="0" w:color="auto"/>
              <w:right w:val="nil"/>
            </w:tcBorders>
            <w:shd w:val="clear" w:color="auto" w:fill="auto"/>
            <w:noWrap/>
            <w:vAlign w:val="center"/>
            <w:hideMark/>
          </w:tcPr>
          <w:p w14:paraId="0BED6D4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2E86355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6DB9A17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0575833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7F1EC0F8"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01C3C41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lastRenderedPageBreak/>
              <w:t>37237</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4E477283"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single" w:sz="4" w:space="0" w:color="auto"/>
              <w:right w:val="nil"/>
            </w:tcBorders>
            <w:shd w:val="clear" w:color="auto" w:fill="auto"/>
            <w:noWrap/>
            <w:vAlign w:val="center"/>
            <w:hideMark/>
          </w:tcPr>
          <w:p w14:paraId="2600ED9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0CA7E78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206A749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2F08C94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787F6887" w14:textId="77777777" w:rsidTr="00646037">
        <w:trPr>
          <w:trHeight w:val="1620"/>
        </w:trPr>
        <w:tc>
          <w:tcPr>
            <w:tcW w:w="839" w:type="dxa"/>
            <w:tcBorders>
              <w:top w:val="nil"/>
              <w:left w:val="single" w:sz="8" w:space="0" w:color="auto"/>
              <w:bottom w:val="nil"/>
              <w:right w:val="nil"/>
            </w:tcBorders>
            <w:shd w:val="clear" w:color="auto" w:fill="auto"/>
            <w:noWrap/>
            <w:vAlign w:val="center"/>
            <w:hideMark/>
          </w:tcPr>
          <w:p w14:paraId="59DDE6E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double" w:sz="6" w:space="0" w:color="auto"/>
              <w:right w:val="single" w:sz="4" w:space="0" w:color="auto"/>
            </w:tcBorders>
            <w:shd w:val="clear" w:color="auto" w:fill="auto"/>
            <w:vAlign w:val="center"/>
            <w:hideMark/>
          </w:tcPr>
          <w:p w14:paraId="30F0DD41"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nil"/>
              <w:right w:val="nil"/>
            </w:tcBorders>
            <w:shd w:val="clear" w:color="auto" w:fill="auto"/>
            <w:noWrap/>
            <w:vAlign w:val="center"/>
            <w:hideMark/>
          </w:tcPr>
          <w:p w14:paraId="2364C13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nil"/>
              <w:right w:val="nil"/>
            </w:tcBorders>
            <w:shd w:val="clear" w:color="auto" w:fill="auto"/>
            <w:noWrap/>
            <w:vAlign w:val="center"/>
            <w:hideMark/>
          </w:tcPr>
          <w:p w14:paraId="6B54E9B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3397EF8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nil"/>
              <w:right w:val="single" w:sz="8" w:space="0" w:color="auto"/>
            </w:tcBorders>
            <w:shd w:val="clear" w:color="auto" w:fill="auto"/>
            <w:noWrap/>
            <w:vAlign w:val="center"/>
            <w:hideMark/>
          </w:tcPr>
          <w:p w14:paraId="66CD994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061B979E"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4AD9F469"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2682333E"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6BF495DB"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2125E593"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38.15</w:t>
            </w:r>
          </w:p>
        </w:tc>
        <w:tc>
          <w:tcPr>
            <w:tcW w:w="1057" w:type="dxa"/>
            <w:tcBorders>
              <w:top w:val="nil"/>
              <w:left w:val="single" w:sz="4" w:space="0" w:color="auto"/>
              <w:bottom w:val="single" w:sz="8" w:space="0" w:color="auto"/>
              <w:right w:val="nil"/>
            </w:tcBorders>
            <w:shd w:val="clear" w:color="auto" w:fill="auto"/>
            <w:noWrap/>
            <w:vAlign w:val="center"/>
            <w:hideMark/>
          </w:tcPr>
          <w:p w14:paraId="45E50B59"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7EF13217"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57.14</w:t>
            </w:r>
          </w:p>
        </w:tc>
      </w:tr>
    </w:tbl>
    <w:p w14:paraId="0901585B" w14:textId="77777777" w:rsidR="00646037" w:rsidRDefault="00646037">
      <w:r>
        <w:br w:type="page"/>
      </w:r>
    </w:p>
    <w:tbl>
      <w:tblPr>
        <w:tblW w:w="10780" w:type="dxa"/>
        <w:tblInd w:w="10" w:type="dxa"/>
        <w:tblLook w:val="04A0" w:firstRow="1" w:lastRow="0" w:firstColumn="1" w:lastColumn="0" w:noHBand="0" w:noVBand="1"/>
      </w:tblPr>
      <w:tblGrid>
        <w:gridCol w:w="839"/>
        <w:gridCol w:w="5421"/>
        <w:gridCol w:w="1057"/>
        <w:gridCol w:w="1203"/>
        <w:gridCol w:w="1057"/>
        <w:gridCol w:w="1203"/>
      </w:tblGrid>
      <w:tr w:rsidR="00646037" w:rsidRPr="00646037" w14:paraId="2F0E515E" w14:textId="77777777" w:rsidTr="00646037">
        <w:trPr>
          <w:trHeight w:val="300"/>
        </w:trPr>
        <w:tc>
          <w:tcPr>
            <w:tcW w:w="839" w:type="dxa"/>
            <w:tcBorders>
              <w:top w:val="nil"/>
              <w:left w:val="nil"/>
              <w:bottom w:val="nil"/>
              <w:right w:val="nil"/>
            </w:tcBorders>
            <w:shd w:val="clear" w:color="auto" w:fill="auto"/>
            <w:noWrap/>
            <w:vAlign w:val="bottom"/>
            <w:hideMark/>
          </w:tcPr>
          <w:p w14:paraId="6B94343B" w14:textId="1AF375F8"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2FA49F3D"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597DBEE6"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4811724B"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605A80EF"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0B113AED" w14:textId="77777777" w:rsidR="00646037" w:rsidRPr="00646037" w:rsidRDefault="00646037" w:rsidP="00646037">
            <w:pPr>
              <w:rPr>
                <w:rFonts w:ascii="Times New Roman" w:eastAsia="Times New Roman" w:hAnsi="Times New Roman"/>
                <w:sz w:val="20"/>
                <w:szCs w:val="20"/>
              </w:rPr>
            </w:pPr>
          </w:p>
        </w:tc>
      </w:tr>
      <w:tr w:rsidR="00646037" w:rsidRPr="00646037" w14:paraId="4A19188F"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535450A0"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34844</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64A5DCEB"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four or more visceral artery endoprostheses (superior mesenteric, celiac or renal artery)</w:t>
            </w:r>
          </w:p>
        </w:tc>
      </w:tr>
      <w:tr w:rsidR="00646037" w:rsidRPr="00646037" w14:paraId="6A7D09A3"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3FD0031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2A13345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nil"/>
              <w:bottom w:val="single" w:sz="4" w:space="0" w:color="auto"/>
              <w:right w:val="nil"/>
            </w:tcBorders>
            <w:shd w:val="clear" w:color="auto" w:fill="auto"/>
            <w:noWrap/>
            <w:vAlign w:val="center"/>
            <w:hideMark/>
          </w:tcPr>
          <w:p w14:paraId="3DCCB7A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71AED37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057" w:type="dxa"/>
            <w:tcBorders>
              <w:top w:val="nil"/>
              <w:left w:val="single" w:sz="4" w:space="0" w:color="auto"/>
              <w:bottom w:val="single" w:sz="4" w:space="0" w:color="auto"/>
              <w:right w:val="nil"/>
            </w:tcBorders>
            <w:shd w:val="clear" w:color="auto" w:fill="auto"/>
            <w:noWrap/>
            <w:vAlign w:val="center"/>
            <w:hideMark/>
          </w:tcPr>
          <w:p w14:paraId="5AF36CD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47A39AF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r>
      <w:tr w:rsidR="00646037" w:rsidRPr="00646037" w14:paraId="01AFC1CB"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59E7A17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262AE1C6"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nil"/>
              <w:bottom w:val="single" w:sz="4" w:space="0" w:color="auto"/>
              <w:right w:val="nil"/>
            </w:tcBorders>
            <w:shd w:val="clear" w:color="auto" w:fill="auto"/>
            <w:noWrap/>
            <w:vAlign w:val="center"/>
            <w:hideMark/>
          </w:tcPr>
          <w:p w14:paraId="5624269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43E981D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7027E3A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4555A53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5B41AFC1"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4EAA2C9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717C6368"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4BFE8E7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7FACEEB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284E706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643B8A9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73E4D4F7"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02006F9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65C57341"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62E3736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4AD04C9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3417A3A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09ED691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3671867C"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2CCB0A7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045DE92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21C72AA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70BD2C0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244FDC9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26CD8B9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7953B163"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3C41205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9823C30"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044BD91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6CD38D5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0AE2EC0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3E846CE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10DD8DEF"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1AC9156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F46122A"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nil"/>
              <w:bottom w:val="single" w:sz="4" w:space="0" w:color="auto"/>
              <w:right w:val="nil"/>
            </w:tcBorders>
            <w:shd w:val="clear" w:color="auto" w:fill="auto"/>
            <w:noWrap/>
            <w:vAlign w:val="center"/>
            <w:hideMark/>
          </w:tcPr>
          <w:p w14:paraId="2E33ACA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0F72480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2E41D61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2EBFD86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615F8546"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1E9ACB3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3373AC97"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single" w:sz="4" w:space="0" w:color="auto"/>
              <w:right w:val="nil"/>
            </w:tcBorders>
            <w:shd w:val="clear" w:color="auto" w:fill="auto"/>
            <w:noWrap/>
            <w:vAlign w:val="center"/>
            <w:hideMark/>
          </w:tcPr>
          <w:p w14:paraId="77B0F6F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5B005BD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37CF505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274A1DA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0DE46F4D"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2888BBD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09A6EFD"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single" w:sz="4" w:space="0" w:color="auto"/>
              <w:right w:val="nil"/>
            </w:tcBorders>
            <w:shd w:val="clear" w:color="auto" w:fill="auto"/>
            <w:noWrap/>
            <w:vAlign w:val="center"/>
            <w:hideMark/>
          </w:tcPr>
          <w:p w14:paraId="5FA0918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2DFB31D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18B5055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739A9F7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0812E93E" w14:textId="77777777" w:rsidTr="00646037">
        <w:trPr>
          <w:trHeight w:val="1620"/>
        </w:trPr>
        <w:tc>
          <w:tcPr>
            <w:tcW w:w="839" w:type="dxa"/>
            <w:tcBorders>
              <w:top w:val="nil"/>
              <w:left w:val="single" w:sz="8" w:space="0" w:color="auto"/>
              <w:bottom w:val="nil"/>
              <w:right w:val="nil"/>
            </w:tcBorders>
            <w:shd w:val="clear" w:color="auto" w:fill="auto"/>
            <w:noWrap/>
            <w:vAlign w:val="center"/>
            <w:hideMark/>
          </w:tcPr>
          <w:p w14:paraId="0F8E932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lastRenderedPageBreak/>
              <w:t>37237</w:t>
            </w:r>
          </w:p>
        </w:tc>
        <w:tc>
          <w:tcPr>
            <w:tcW w:w="5421" w:type="dxa"/>
            <w:tcBorders>
              <w:top w:val="nil"/>
              <w:left w:val="single" w:sz="4" w:space="0" w:color="auto"/>
              <w:bottom w:val="double" w:sz="6" w:space="0" w:color="auto"/>
              <w:right w:val="single" w:sz="4" w:space="0" w:color="auto"/>
            </w:tcBorders>
            <w:shd w:val="clear" w:color="auto" w:fill="auto"/>
            <w:vAlign w:val="center"/>
            <w:hideMark/>
          </w:tcPr>
          <w:p w14:paraId="6BAFD8CB"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nil"/>
              <w:bottom w:val="nil"/>
              <w:right w:val="nil"/>
            </w:tcBorders>
            <w:shd w:val="clear" w:color="auto" w:fill="auto"/>
            <w:noWrap/>
            <w:vAlign w:val="center"/>
            <w:hideMark/>
          </w:tcPr>
          <w:p w14:paraId="541CC23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nil"/>
              <w:right w:val="nil"/>
            </w:tcBorders>
            <w:shd w:val="clear" w:color="auto" w:fill="auto"/>
            <w:noWrap/>
            <w:vAlign w:val="center"/>
            <w:hideMark/>
          </w:tcPr>
          <w:p w14:paraId="6E542D3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2E57AAB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nil"/>
              <w:right w:val="single" w:sz="8" w:space="0" w:color="auto"/>
            </w:tcBorders>
            <w:shd w:val="clear" w:color="auto" w:fill="auto"/>
            <w:noWrap/>
            <w:vAlign w:val="center"/>
            <w:hideMark/>
          </w:tcPr>
          <w:p w14:paraId="743DF5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2F2D0704"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588AAC97"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5B0BF81E"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753A79E0"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5F62848D"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44.73</w:t>
            </w:r>
          </w:p>
        </w:tc>
        <w:tc>
          <w:tcPr>
            <w:tcW w:w="1057" w:type="dxa"/>
            <w:tcBorders>
              <w:top w:val="nil"/>
              <w:left w:val="single" w:sz="4" w:space="0" w:color="auto"/>
              <w:bottom w:val="single" w:sz="8" w:space="0" w:color="auto"/>
              <w:right w:val="nil"/>
            </w:tcBorders>
            <w:shd w:val="clear" w:color="auto" w:fill="auto"/>
            <w:noWrap/>
            <w:vAlign w:val="center"/>
            <w:hideMark/>
          </w:tcPr>
          <w:p w14:paraId="618410ED"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228A5008"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66.76</w:t>
            </w:r>
          </w:p>
        </w:tc>
      </w:tr>
    </w:tbl>
    <w:p w14:paraId="12D34296" w14:textId="77777777" w:rsidR="00646037" w:rsidRDefault="00646037">
      <w:r>
        <w:br w:type="page"/>
      </w:r>
    </w:p>
    <w:tbl>
      <w:tblPr>
        <w:tblW w:w="10780" w:type="dxa"/>
        <w:tblInd w:w="10" w:type="dxa"/>
        <w:tblLook w:val="04A0" w:firstRow="1" w:lastRow="0" w:firstColumn="1" w:lastColumn="0" w:noHBand="0" w:noVBand="1"/>
      </w:tblPr>
      <w:tblGrid>
        <w:gridCol w:w="839"/>
        <w:gridCol w:w="5421"/>
        <w:gridCol w:w="1057"/>
        <w:gridCol w:w="1203"/>
        <w:gridCol w:w="1057"/>
        <w:gridCol w:w="1203"/>
      </w:tblGrid>
      <w:tr w:rsidR="00646037" w:rsidRPr="00646037" w14:paraId="1D2DBDF3" w14:textId="77777777" w:rsidTr="00646037">
        <w:trPr>
          <w:trHeight w:val="300"/>
        </w:trPr>
        <w:tc>
          <w:tcPr>
            <w:tcW w:w="839" w:type="dxa"/>
            <w:tcBorders>
              <w:top w:val="nil"/>
              <w:left w:val="nil"/>
              <w:bottom w:val="nil"/>
              <w:right w:val="nil"/>
            </w:tcBorders>
            <w:shd w:val="clear" w:color="auto" w:fill="auto"/>
            <w:noWrap/>
            <w:vAlign w:val="bottom"/>
            <w:hideMark/>
          </w:tcPr>
          <w:p w14:paraId="6D730290" w14:textId="13A74373"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70362D8B"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697E289A"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27E88692"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1E7F54BA"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15E21434" w14:textId="77777777" w:rsidR="00646037" w:rsidRPr="00646037" w:rsidRDefault="00646037" w:rsidP="00646037">
            <w:pPr>
              <w:rPr>
                <w:rFonts w:ascii="Times New Roman" w:eastAsia="Times New Roman" w:hAnsi="Times New Roman"/>
                <w:sz w:val="20"/>
                <w:szCs w:val="20"/>
              </w:rPr>
            </w:pPr>
          </w:p>
        </w:tc>
      </w:tr>
      <w:tr w:rsidR="00646037" w:rsidRPr="00646037" w14:paraId="00CEFBA0"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7EDCC972"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34845</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77292720"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and infrarenal abdominal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one visceral artery endoprosthesis (superior mesenteric, celiac or renal artery)</w:t>
            </w:r>
          </w:p>
        </w:tc>
      </w:tr>
      <w:tr w:rsidR="00646037" w:rsidRPr="00646037" w14:paraId="5F886741" w14:textId="77777777" w:rsidTr="00646037">
        <w:trPr>
          <w:trHeight w:val="2100"/>
        </w:trPr>
        <w:tc>
          <w:tcPr>
            <w:tcW w:w="839" w:type="dxa"/>
            <w:tcBorders>
              <w:top w:val="nil"/>
              <w:left w:val="single" w:sz="8" w:space="0" w:color="auto"/>
              <w:bottom w:val="single" w:sz="4" w:space="0" w:color="auto"/>
              <w:right w:val="nil"/>
            </w:tcBorders>
            <w:shd w:val="clear" w:color="auto" w:fill="auto"/>
            <w:noWrap/>
            <w:vAlign w:val="center"/>
            <w:hideMark/>
          </w:tcPr>
          <w:p w14:paraId="1F97EC7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34705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22583634"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Endovascular repair of infrarenal aorta and/or iliac artery(</w:t>
            </w:r>
            <w:proofErr w:type="spellStart"/>
            <w:r w:rsidRPr="00646037">
              <w:rPr>
                <w:rFonts w:ascii="Arial" w:eastAsia="Times New Roman" w:hAnsi="Arial" w:cs="Arial"/>
                <w:color w:val="000000"/>
                <w:sz w:val="18"/>
                <w:szCs w:val="18"/>
              </w:rPr>
              <w:t>ies</w:t>
            </w:r>
            <w:proofErr w:type="spellEnd"/>
            <w:r w:rsidRPr="00646037">
              <w:rPr>
                <w:rFonts w:ascii="Arial" w:eastAsia="Times New Roman" w:hAnsi="Arial" w:cs="Arial"/>
                <w:color w:val="000000"/>
                <w:sz w:val="18"/>
                <w:szCs w:val="18"/>
              </w:rPr>
              <w:t>)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c>
          <w:tcPr>
            <w:tcW w:w="1057" w:type="dxa"/>
            <w:tcBorders>
              <w:top w:val="nil"/>
              <w:left w:val="nil"/>
              <w:bottom w:val="single" w:sz="4" w:space="0" w:color="auto"/>
              <w:right w:val="nil"/>
            </w:tcBorders>
            <w:shd w:val="clear" w:color="auto" w:fill="auto"/>
            <w:noWrap/>
            <w:vAlign w:val="center"/>
            <w:hideMark/>
          </w:tcPr>
          <w:p w14:paraId="2D24301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203" w:type="dxa"/>
            <w:tcBorders>
              <w:top w:val="nil"/>
              <w:left w:val="nil"/>
              <w:bottom w:val="single" w:sz="4" w:space="0" w:color="auto"/>
              <w:right w:val="nil"/>
            </w:tcBorders>
            <w:shd w:val="clear" w:color="auto" w:fill="auto"/>
            <w:noWrap/>
            <w:vAlign w:val="center"/>
            <w:hideMark/>
          </w:tcPr>
          <w:p w14:paraId="605681B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057" w:type="dxa"/>
            <w:tcBorders>
              <w:top w:val="nil"/>
              <w:left w:val="single" w:sz="4" w:space="0" w:color="auto"/>
              <w:bottom w:val="single" w:sz="4" w:space="0" w:color="auto"/>
              <w:right w:val="nil"/>
            </w:tcBorders>
            <w:shd w:val="clear" w:color="auto" w:fill="auto"/>
            <w:noWrap/>
            <w:vAlign w:val="center"/>
            <w:hideMark/>
          </w:tcPr>
          <w:p w14:paraId="71BC36D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c>
          <w:tcPr>
            <w:tcW w:w="1203" w:type="dxa"/>
            <w:tcBorders>
              <w:top w:val="nil"/>
              <w:left w:val="nil"/>
              <w:bottom w:val="single" w:sz="4" w:space="0" w:color="auto"/>
              <w:right w:val="single" w:sz="8" w:space="0" w:color="auto"/>
            </w:tcBorders>
            <w:shd w:val="clear" w:color="auto" w:fill="auto"/>
            <w:noWrap/>
            <w:vAlign w:val="center"/>
            <w:hideMark/>
          </w:tcPr>
          <w:p w14:paraId="5C91C6E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r>
      <w:tr w:rsidR="00646037" w:rsidRPr="00646037" w14:paraId="060750AD"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0EEE129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5E4AF20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nil"/>
              <w:bottom w:val="single" w:sz="4" w:space="0" w:color="auto"/>
              <w:right w:val="nil"/>
            </w:tcBorders>
            <w:shd w:val="clear" w:color="auto" w:fill="auto"/>
            <w:noWrap/>
            <w:vAlign w:val="center"/>
            <w:hideMark/>
          </w:tcPr>
          <w:p w14:paraId="7C330C7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4D71437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8.28</w:t>
            </w:r>
          </w:p>
        </w:tc>
        <w:tc>
          <w:tcPr>
            <w:tcW w:w="1057" w:type="dxa"/>
            <w:tcBorders>
              <w:top w:val="nil"/>
              <w:left w:val="single" w:sz="4" w:space="0" w:color="auto"/>
              <w:bottom w:val="single" w:sz="4" w:space="0" w:color="auto"/>
              <w:right w:val="nil"/>
            </w:tcBorders>
            <w:shd w:val="clear" w:color="auto" w:fill="auto"/>
            <w:noWrap/>
            <w:vAlign w:val="center"/>
            <w:hideMark/>
          </w:tcPr>
          <w:p w14:paraId="0D35DBD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663E7B2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12.77</w:t>
            </w:r>
          </w:p>
        </w:tc>
      </w:tr>
      <w:tr w:rsidR="00646037" w:rsidRPr="00646037" w14:paraId="7567E939"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61AEB79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single" w:sz="4" w:space="0" w:color="auto"/>
            </w:tcBorders>
            <w:shd w:val="clear" w:color="auto" w:fill="auto"/>
            <w:noWrap/>
            <w:vAlign w:val="center"/>
            <w:hideMark/>
          </w:tcPr>
          <w:p w14:paraId="06C60549"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nil"/>
              <w:bottom w:val="single" w:sz="4" w:space="0" w:color="auto"/>
              <w:right w:val="nil"/>
            </w:tcBorders>
            <w:shd w:val="clear" w:color="auto" w:fill="auto"/>
            <w:noWrap/>
            <w:vAlign w:val="center"/>
            <w:hideMark/>
          </w:tcPr>
          <w:p w14:paraId="75C5646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30AAE8E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27B5425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6FBE5FA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04C215A1"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2E6B170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single" w:sz="4" w:space="0" w:color="auto"/>
            </w:tcBorders>
            <w:shd w:val="clear" w:color="auto" w:fill="auto"/>
            <w:vAlign w:val="center"/>
            <w:hideMark/>
          </w:tcPr>
          <w:p w14:paraId="5D5F7A53"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nil"/>
              <w:bottom w:val="single" w:sz="4" w:space="0" w:color="auto"/>
              <w:right w:val="nil"/>
            </w:tcBorders>
            <w:shd w:val="clear" w:color="auto" w:fill="auto"/>
            <w:noWrap/>
            <w:vAlign w:val="center"/>
            <w:hideMark/>
          </w:tcPr>
          <w:p w14:paraId="32E4BB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0C0C99B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5A722C9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69267E2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75166F2F" w14:textId="77777777" w:rsidTr="00646037">
        <w:trPr>
          <w:trHeight w:val="1419"/>
        </w:trPr>
        <w:tc>
          <w:tcPr>
            <w:tcW w:w="839" w:type="dxa"/>
            <w:tcBorders>
              <w:top w:val="nil"/>
              <w:left w:val="single" w:sz="8" w:space="0" w:color="auto"/>
              <w:bottom w:val="nil"/>
              <w:right w:val="nil"/>
            </w:tcBorders>
            <w:shd w:val="clear" w:color="auto" w:fill="auto"/>
            <w:noWrap/>
            <w:vAlign w:val="center"/>
            <w:hideMark/>
          </w:tcPr>
          <w:p w14:paraId="24C4803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double" w:sz="6" w:space="0" w:color="auto"/>
              <w:right w:val="single" w:sz="4" w:space="0" w:color="auto"/>
            </w:tcBorders>
            <w:shd w:val="clear" w:color="auto" w:fill="auto"/>
            <w:vAlign w:val="center"/>
            <w:hideMark/>
          </w:tcPr>
          <w:p w14:paraId="21772601"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nil"/>
              <w:bottom w:val="nil"/>
              <w:right w:val="nil"/>
            </w:tcBorders>
            <w:shd w:val="clear" w:color="auto" w:fill="auto"/>
            <w:noWrap/>
            <w:vAlign w:val="center"/>
            <w:hideMark/>
          </w:tcPr>
          <w:p w14:paraId="72F9C96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nil"/>
              <w:right w:val="nil"/>
            </w:tcBorders>
            <w:shd w:val="clear" w:color="auto" w:fill="auto"/>
            <w:noWrap/>
            <w:vAlign w:val="center"/>
            <w:hideMark/>
          </w:tcPr>
          <w:p w14:paraId="73B07AD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double" w:sz="6" w:space="0" w:color="auto"/>
              <w:right w:val="nil"/>
            </w:tcBorders>
            <w:shd w:val="clear" w:color="auto" w:fill="auto"/>
            <w:noWrap/>
            <w:vAlign w:val="center"/>
            <w:hideMark/>
          </w:tcPr>
          <w:p w14:paraId="54655ED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nil"/>
              <w:right w:val="single" w:sz="8" w:space="0" w:color="auto"/>
            </w:tcBorders>
            <w:shd w:val="clear" w:color="auto" w:fill="auto"/>
            <w:noWrap/>
            <w:vAlign w:val="center"/>
            <w:hideMark/>
          </w:tcPr>
          <w:p w14:paraId="4FF4957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1ADF8196"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78B45B6D"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3A246074"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209525B9"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14D4ED0C"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46.31</w:t>
            </w:r>
          </w:p>
        </w:tc>
        <w:tc>
          <w:tcPr>
            <w:tcW w:w="1057" w:type="dxa"/>
            <w:tcBorders>
              <w:top w:val="nil"/>
              <w:left w:val="single" w:sz="4" w:space="0" w:color="auto"/>
              <w:bottom w:val="single" w:sz="8" w:space="0" w:color="auto"/>
              <w:right w:val="nil"/>
            </w:tcBorders>
            <w:shd w:val="clear" w:color="auto" w:fill="auto"/>
            <w:noWrap/>
            <w:vAlign w:val="center"/>
            <w:hideMark/>
          </w:tcPr>
          <w:p w14:paraId="479699BC"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779499DC"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69.65</w:t>
            </w:r>
          </w:p>
        </w:tc>
      </w:tr>
    </w:tbl>
    <w:p w14:paraId="2C996E45" w14:textId="77777777" w:rsidR="00646037" w:rsidRDefault="00646037">
      <w:r>
        <w:br w:type="page"/>
      </w:r>
    </w:p>
    <w:tbl>
      <w:tblPr>
        <w:tblW w:w="10780" w:type="dxa"/>
        <w:tblInd w:w="10" w:type="dxa"/>
        <w:tblLook w:val="04A0" w:firstRow="1" w:lastRow="0" w:firstColumn="1" w:lastColumn="0" w:noHBand="0" w:noVBand="1"/>
      </w:tblPr>
      <w:tblGrid>
        <w:gridCol w:w="839"/>
        <w:gridCol w:w="5421"/>
        <w:gridCol w:w="1057"/>
        <w:gridCol w:w="1203"/>
        <w:gridCol w:w="1057"/>
        <w:gridCol w:w="1203"/>
      </w:tblGrid>
      <w:tr w:rsidR="00646037" w:rsidRPr="00646037" w14:paraId="0E7A5B08" w14:textId="77777777" w:rsidTr="00646037">
        <w:trPr>
          <w:trHeight w:val="312"/>
        </w:trPr>
        <w:tc>
          <w:tcPr>
            <w:tcW w:w="839" w:type="dxa"/>
            <w:tcBorders>
              <w:top w:val="nil"/>
              <w:left w:val="nil"/>
              <w:bottom w:val="nil"/>
              <w:right w:val="nil"/>
            </w:tcBorders>
            <w:shd w:val="clear" w:color="auto" w:fill="auto"/>
            <w:noWrap/>
            <w:vAlign w:val="center"/>
            <w:hideMark/>
          </w:tcPr>
          <w:p w14:paraId="0B7B2A4B" w14:textId="4DAE239F"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0F1227B6"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468A27E4"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3D292733"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6ED1B367"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7DDC7B7D" w14:textId="77777777" w:rsidR="00646037" w:rsidRPr="00646037" w:rsidRDefault="00646037" w:rsidP="00646037">
            <w:pPr>
              <w:rPr>
                <w:rFonts w:ascii="Times New Roman" w:eastAsia="Times New Roman" w:hAnsi="Times New Roman"/>
                <w:sz w:val="20"/>
                <w:szCs w:val="20"/>
              </w:rPr>
            </w:pPr>
          </w:p>
        </w:tc>
      </w:tr>
      <w:tr w:rsidR="00646037" w:rsidRPr="00646037" w14:paraId="3D883862"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0702F5AF"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34846</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179801C2"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and infrarenal abdominal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two visceral artery endoprostheses (superior mesenteric, celiac or renal artery)</w:t>
            </w:r>
          </w:p>
        </w:tc>
      </w:tr>
      <w:tr w:rsidR="00646037" w:rsidRPr="00646037" w14:paraId="5267876E" w14:textId="77777777" w:rsidTr="00646037">
        <w:trPr>
          <w:trHeight w:val="2100"/>
        </w:trPr>
        <w:tc>
          <w:tcPr>
            <w:tcW w:w="839" w:type="dxa"/>
            <w:tcBorders>
              <w:top w:val="nil"/>
              <w:left w:val="single" w:sz="8" w:space="0" w:color="auto"/>
              <w:bottom w:val="single" w:sz="4" w:space="0" w:color="auto"/>
              <w:right w:val="nil"/>
            </w:tcBorders>
            <w:shd w:val="clear" w:color="auto" w:fill="auto"/>
            <w:noWrap/>
            <w:vAlign w:val="center"/>
            <w:hideMark/>
          </w:tcPr>
          <w:p w14:paraId="2DE7D75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34705</w:t>
            </w:r>
          </w:p>
        </w:tc>
        <w:tc>
          <w:tcPr>
            <w:tcW w:w="5421" w:type="dxa"/>
            <w:tcBorders>
              <w:top w:val="nil"/>
              <w:left w:val="single" w:sz="4" w:space="0" w:color="auto"/>
              <w:bottom w:val="single" w:sz="4" w:space="0" w:color="auto"/>
              <w:right w:val="nil"/>
            </w:tcBorders>
            <w:shd w:val="clear" w:color="auto" w:fill="auto"/>
            <w:vAlign w:val="center"/>
            <w:hideMark/>
          </w:tcPr>
          <w:p w14:paraId="323C6F2F"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Endovascular repair of infrarenal aorta and/or iliac artery(</w:t>
            </w:r>
            <w:proofErr w:type="spellStart"/>
            <w:r w:rsidRPr="00646037">
              <w:rPr>
                <w:rFonts w:ascii="Arial" w:eastAsia="Times New Roman" w:hAnsi="Arial" w:cs="Arial"/>
                <w:color w:val="000000"/>
                <w:sz w:val="18"/>
                <w:szCs w:val="18"/>
              </w:rPr>
              <w:t>ies</w:t>
            </w:r>
            <w:proofErr w:type="spellEnd"/>
            <w:r w:rsidRPr="00646037">
              <w:rPr>
                <w:rFonts w:ascii="Arial" w:eastAsia="Times New Roman" w:hAnsi="Arial" w:cs="Arial"/>
                <w:color w:val="000000"/>
                <w:sz w:val="18"/>
                <w:szCs w:val="18"/>
              </w:rPr>
              <w:t>)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c>
          <w:tcPr>
            <w:tcW w:w="1057" w:type="dxa"/>
            <w:tcBorders>
              <w:top w:val="nil"/>
              <w:left w:val="single" w:sz="4" w:space="0" w:color="auto"/>
              <w:bottom w:val="single" w:sz="4" w:space="0" w:color="auto"/>
              <w:right w:val="nil"/>
            </w:tcBorders>
            <w:shd w:val="clear" w:color="auto" w:fill="auto"/>
            <w:noWrap/>
            <w:vAlign w:val="center"/>
            <w:hideMark/>
          </w:tcPr>
          <w:p w14:paraId="5382245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203" w:type="dxa"/>
            <w:tcBorders>
              <w:top w:val="nil"/>
              <w:left w:val="nil"/>
              <w:bottom w:val="single" w:sz="4" w:space="0" w:color="auto"/>
              <w:right w:val="nil"/>
            </w:tcBorders>
            <w:shd w:val="clear" w:color="auto" w:fill="auto"/>
            <w:noWrap/>
            <w:vAlign w:val="center"/>
            <w:hideMark/>
          </w:tcPr>
          <w:p w14:paraId="42B99F6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057" w:type="dxa"/>
            <w:tcBorders>
              <w:top w:val="nil"/>
              <w:left w:val="single" w:sz="4" w:space="0" w:color="auto"/>
              <w:bottom w:val="single" w:sz="4" w:space="0" w:color="auto"/>
              <w:right w:val="nil"/>
            </w:tcBorders>
            <w:shd w:val="clear" w:color="auto" w:fill="auto"/>
            <w:noWrap/>
            <w:vAlign w:val="center"/>
            <w:hideMark/>
          </w:tcPr>
          <w:p w14:paraId="6626402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c>
          <w:tcPr>
            <w:tcW w:w="1203" w:type="dxa"/>
            <w:tcBorders>
              <w:top w:val="nil"/>
              <w:left w:val="nil"/>
              <w:bottom w:val="single" w:sz="4" w:space="0" w:color="auto"/>
              <w:right w:val="single" w:sz="8" w:space="0" w:color="auto"/>
            </w:tcBorders>
            <w:shd w:val="clear" w:color="auto" w:fill="auto"/>
            <w:noWrap/>
            <w:vAlign w:val="center"/>
            <w:hideMark/>
          </w:tcPr>
          <w:p w14:paraId="64775E3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r>
      <w:tr w:rsidR="00646037" w:rsidRPr="00646037" w14:paraId="06C37E5E"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68C35A0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2962B5C9"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single" w:sz="4" w:space="0" w:color="auto"/>
              <w:bottom w:val="single" w:sz="4" w:space="0" w:color="auto"/>
              <w:right w:val="nil"/>
            </w:tcBorders>
            <w:shd w:val="clear" w:color="auto" w:fill="auto"/>
            <w:noWrap/>
            <w:vAlign w:val="center"/>
            <w:hideMark/>
          </w:tcPr>
          <w:p w14:paraId="4AE4ACA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41C1155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8.28</w:t>
            </w:r>
          </w:p>
        </w:tc>
        <w:tc>
          <w:tcPr>
            <w:tcW w:w="1057" w:type="dxa"/>
            <w:tcBorders>
              <w:top w:val="nil"/>
              <w:left w:val="single" w:sz="4" w:space="0" w:color="auto"/>
              <w:bottom w:val="single" w:sz="4" w:space="0" w:color="auto"/>
              <w:right w:val="nil"/>
            </w:tcBorders>
            <w:shd w:val="clear" w:color="auto" w:fill="auto"/>
            <w:noWrap/>
            <w:vAlign w:val="center"/>
            <w:hideMark/>
          </w:tcPr>
          <w:p w14:paraId="275D19D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39B5993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12.77</w:t>
            </w:r>
          </w:p>
        </w:tc>
      </w:tr>
      <w:tr w:rsidR="00646037" w:rsidRPr="00646037" w14:paraId="0B5B5C50"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14D3962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1433D38C"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single" w:sz="4" w:space="0" w:color="auto"/>
              <w:bottom w:val="single" w:sz="4" w:space="0" w:color="auto"/>
              <w:right w:val="nil"/>
            </w:tcBorders>
            <w:shd w:val="clear" w:color="auto" w:fill="auto"/>
            <w:noWrap/>
            <w:vAlign w:val="center"/>
            <w:hideMark/>
          </w:tcPr>
          <w:p w14:paraId="23476D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06534B5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447F216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5C3228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6155EC29"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4AF119D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1E793076"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2A44F32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323152F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2949D81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10F3502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1E2AE31C"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3851C97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34ABD67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3F5072F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0C56793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6C7521D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64A1619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3D5F1CF8"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6E57748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single" w:sz="4" w:space="0" w:color="auto"/>
              <w:right w:val="nil"/>
            </w:tcBorders>
            <w:shd w:val="clear" w:color="auto" w:fill="auto"/>
            <w:vAlign w:val="center"/>
            <w:hideMark/>
          </w:tcPr>
          <w:p w14:paraId="2C1F14B9"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single" w:sz="4" w:space="0" w:color="auto"/>
              <w:bottom w:val="single" w:sz="4" w:space="0" w:color="auto"/>
              <w:right w:val="nil"/>
            </w:tcBorders>
            <w:shd w:val="clear" w:color="auto" w:fill="auto"/>
            <w:noWrap/>
            <w:vAlign w:val="center"/>
            <w:hideMark/>
          </w:tcPr>
          <w:p w14:paraId="3F6ACC6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7F308B6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046084D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05D4521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4E4236B3" w14:textId="77777777" w:rsidTr="00646037">
        <w:trPr>
          <w:trHeight w:val="1620"/>
        </w:trPr>
        <w:tc>
          <w:tcPr>
            <w:tcW w:w="839" w:type="dxa"/>
            <w:tcBorders>
              <w:top w:val="nil"/>
              <w:left w:val="single" w:sz="8" w:space="0" w:color="auto"/>
              <w:bottom w:val="nil"/>
              <w:right w:val="nil"/>
            </w:tcBorders>
            <w:shd w:val="clear" w:color="auto" w:fill="auto"/>
            <w:noWrap/>
            <w:vAlign w:val="center"/>
            <w:hideMark/>
          </w:tcPr>
          <w:p w14:paraId="04E7284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double" w:sz="6" w:space="0" w:color="auto"/>
              <w:right w:val="nil"/>
            </w:tcBorders>
            <w:shd w:val="clear" w:color="auto" w:fill="auto"/>
            <w:vAlign w:val="center"/>
            <w:hideMark/>
          </w:tcPr>
          <w:p w14:paraId="330182B0"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nil"/>
              <w:right w:val="nil"/>
            </w:tcBorders>
            <w:shd w:val="clear" w:color="auto" w:fill="auto"/>
            <w:noWrap/>
            <w:vAlign w:val="center"/>
            <w:hideMark/>
          </w:tcPr>
          <w:p w14:paraId="5BFF71A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nil"/>
              <w:right w:val="nil"/>
            </w:tcBorders>
            <w:shd w:val="clear" w:color="auto" w:fill="auto"/>
            <w:noWrap/>
            <w:vAlign w:val="center"/>
            <w:hideMark/>
          </w:tcPr>
          <w:p w14:paraId="71B8EE9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5EA5CA2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nil"/>
              <w:right w:val="single" w:sz="8" w:space="0" w:color="auto"/>
            </w:tcBorders>
            <w:shd w:val="clear" w:color="auto" w:fill="auto"/>
            <w:noWrap/>
            <w:vAlign w:val="center"/>
            <w:hideMark/>
          </w:tcPr>
          <w:p w14:paraId="194A30E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078D354F"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5D3960BE"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7D41528E"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4E090340"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4ACE9D38"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52.88</w:t>
            </w:r>
          </w:p>
        </w:tc>
        <w:tc>
          <w:tcPr>
            <w:tcW w:w="1057" w:type="dxa"/>
            <w:tcBorders>
              <w:top w:val="nil"/>
              <w:left w:val="single" w:sz="4" w:space="0" w:color="auto"/>
              <w:bottom w:val="single" w:sz="8" w:space="0" w:color="auto"/>
              <w:right w:val="nil"/>
            </w:tcBorders>
            <w:shd w:val="clear" w:color="auto" w:fill="auto"/>
            <w:noWrap/>
            <w:vAlign w:val="center"/>
            <w:hideMark/>
          </w:tcPr>
          <w:p w14:paraId="7372478E"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0230071B"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79.28</w:t>
            </w:r>
          </w:p>
        </w:tc>
      </w:tr>
    </w:tbl>
    <w:p w14:paraId="3BEB97AF" w14:textId="77777777" w:rsidR="00646037" w:rsidRDefault="00646037">
      <w:r>
        <w:br w:type="page"/>
      </w:r>
    </w:p>
    <w:tbl>
      <w:tblPr>
        <w:tblW w:w="10780" w:type="dxa"/>
        <w:tblInd w:w="10" w:type="dxa"/>
        <w:tblLook w:val="04A0" w:firstRow="1" w:lastRow="0" w:firstColumn="1" w:lastColumn="0" w:noHBand="0" w:noVBand="1"/>
      </w:tblPr>
      <w:tblGrid>
        <w:gridCol w:w="839"/>
        <w:gridCol w:w="5421"/>
        <w:gridCol w:w="1057"/>
        <w:gridCol w:w="1203"/>
        <w:gridCol w:w="1057"/>
        <w:gridCol w:w="1203"/>
      </w:tblGrid>
      <w:tr w:rsidR="00646037" w:rsidRPr="00646037" w14:paraId="3274A102" w14:textId="77777777" w:rsidTr="00646037">
        <w:trPr>
          <w:trHeight w:val="300"/>
        </w:trPr>
        <w:tc>
          <w:tcPr>
            <w:tcW w:w="839" w:type="dxa"/>
            <w:tcBorders>
              <w:top w:val="nil"/>
              <w:left w:val="nil"/>
              <w:bottom w:val="single" w:sz="8" w:space="0" w:color="auto"/>
              <w:right w:val="nil"/>
            </w:tcBorders>
            <w:shd w:val="clear" w:color="auto" w:fill="auto"/>
            <w:noWrap/>
            <w:vAlign w:val="center"/>
            <w:hideMark/>
          </w:tcPr>
          <w:p w14:paraId="4F42C868" w14:textId="152808F0"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lastRenderedPageBreak/>
              <w:t> </w:t>
            </w:r>
          </w:p>
        </w:tc>
        <w:tc>
          <w:tcPr>
            <w:tcW w:w="5421" w:type="dxa"/>
            <w:tcBorders>
              <w:top w:val="nil"/>
              <w:left w:val="nil"/>
              <w:bottom w:val="nil"/>
              <w:right w:val="nil"/>
            </w:tcBorders>
            <w:shd w:val="clear" w:color="auto" w:fill="auto"/>
            <w:noWrap/>
            <w:vAlign w:val="center"/>
            <w:hideMark/>
          </w:tcPr>
          <w:p w14:paraId="500F0ACC" w14:textId="77777777" w:rsidR="00646037" w:rsidRPr="00646037" w:rsidRDefault="00646037" w:rsidP="00646037">
            <w:pPr>
              <w:jc w:val="center"/>
              <w:rPr>
                <w:rFonts w:ascii="Arial" w:eastAsia="Times New Roman" w:hAnsi="Arial" w:cs="Arial"/>
                <w:b/>
                <w:bCs/>
                <w:color w:val="000000"/>
                <w:sz w:val="18"/>
                <w:szCs w:val="18"/>
              </w:rPr>
            </w:pPr>
          </w:p>
        </w:tc>
        <w:tc>
          <w:tcPr>
            <w:tcW w:w="1057" w:type="dxa"/>
            <w:tcBorders>
              <w:top w:val="nil"/>
              <w:left w:val="nil"/>
              <w:bottom w:val="nil"/>
              <w:right w:val="nil"/>
            </w:tcBorders>
            <w:shd w:val="clear" w:color="auto" w:fill="auto"/>
            <w:noWrap/>
            <w:vAlign w:val="center"/>
            <w:hideMark/>
          </w:tcPr>
          <w:p w14:paraId="6C1E1A89"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center"/>
            <w:hideMark/>
          </w:tcPr>
          <w:p w14:paraId="59ECDF39"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center"/>
            <w:hideMark/>
          </w:tcPr>
          <w:p w14:paraId="6F3C6572" w14:textId="77777777" w:rsidR="00646037" w:rsidRPr="00646037" w:rsidRDefault="00646037" w:rsidP="00646037">
            <w:pPr>
              <w:jc w:val="cente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center"/>
            <w:hideMark/>
          </w:tcPr>
          <w:p w14:paraId="7B0CBB26" w14:textId="77777777" w:rsidR="00646037" w:rsidRPr="00646037" w:rsidRDefault="00646037" w:rsidP="00646037">
            <w:pPr>
              <w:rPr>
                <w:rFonts w:ascii="Times New Roman" w:eastAsia="Times New Roman" w:hAnsi="Times New Roman"/>
                <w:sz w:val="20"/>
                <w:szCs w:val="20"/>
              </w:rPr>
            </w:pPr>
          </w:p>
        </w:tc>
      </w:tr>
      <w:tr w:rsidR="00646037" w:rsidRPr="00646037" w14:paraId="2B2A5A88" w14:textId="77777777" w:rsidTr="00646037">
        <w:trPr>
          <w:trHeight w:val="1299"/>
        </w:trPr>
        <w:tc>
          <w:tcPr>
            <w:tcW w:w="839" w:type="dxa"/>
            <w:tcBorders>
              <w:top w:val="nil"/>
              <w:left w:val="single" w:sz="8" w:space="0" w:color="auto"/>
              <w:bottom w:val="single" w:sz="8" w:space="0" w:color="auto"/>
              <w:right w:val="nil"/>
            </w:tcBorders>
            <w:shd w:val="clear" w:color="000000" w:fill="D9D9D9"/>
            <w:noWrap/>
            <w:vAlign w:val="center"/>
            <w:hideMark/>
          </w:tcPr>
          <w:p w14:paraId="3F519B79"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34847</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38C65151"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and infrarenal abdominal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three visceral artery endoprostheses (superior mesenteric, celiac or renal artery)</w:t>
            </w:r>
          </w:p>
        </w:tc>
      </w:tr>
      <w:tr w:rsidR="00646037" w:rsidRPr="00646037" w14:paraId="6E5A0721" w14:textId="77777777" w:rsidTr="00646037">
        <w:trPr>
          <w:trHeight w:val="2100"/>
        </w:trPr>
        <w:tc>
          <w:tcPr>
            <w:tcW w:w="839" w:type="dxa"/>
            <w:tcBorders>
              <w:top w:val="nil"/>
              <w:left w:val="single" w:sz="8" w:space="0" w:color="auto"/>
              <w:bottom w:val="single" w:sz="4" w:space="0" w:color="auto"/>
              <w:right w:val="nil"/>
            </w:tcBorders>
            <w:shd w:val="clear" w:color="auto" w:fill="auto"/>
            <w:noWrap/>
            <w:vAlign w:val="center"/>
            <w:hideMark/>
          </w:tcPr>
          <w:p w14:paraId="12DFDF8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34705</w:t>
            </w:r>
          </w:p>
        </w:tc>
        <w:tc>
          <w:tcPr>
            <w:tcW w:w="5421" w:type="dxa"/>
            <w:tcBorders>
              <w:top w:val="nil"/>
              <w:left w:val="single" w:sz="4" w:space="0" w:color="auto"/>
              <w:bottom w:val="single" w:sz="4" w:space="0" w:color="auto"/>
              <w:right w:val="nil"/>
            </w:tcBorders>
            <w:shd w:val="clear" w:color="auto" w:fill="auto"/>
            <w:vAlign w:val="center"/>
            <w:hideMark/>
          </w:tcPr>
          <w:p w14:paraId="318F533A"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Endovascular repair of infrarenal aorta and/or iliac artery(</w:t>
            </w:r>
            <w:proofErr w:type="spellStart"/>
            <w:r w:rsidRPr="00646037">
              <w:rPr>
                <w:rFonts w:ascii="Arial" w:eastAsia="Times New Roman" w:hAnsi="Arial" w:cs="Arial"/>
                <w:color w:val="000000"/>
                <w:sz w:val="18"/>
                <w:szCs w:val="18"/>
              </w:rPr>
              <w:t>ies</w:t>
            </w:r>
            <w:proofErr w:type="spellEnd"/>
            <w:r w:rsidRPr="00646037">
              <w:rPr>
                <w:rFonts w:ascii="Arial" w:eastAsia="Times New Roman" w:hAnsi="Arial" w:cs="Arial"/>
                <w:color w:val="000000"/>
                <w:sz w:val="18"/>
                <w:szCs w:val="18"/>
              </w:rPr>
              <w:t>)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c>
          <w:tcPr>
            <w:tcW w:w="1057" w:type="dxa"/>
            <w:tcBorders>
              <w:top w:val="nil"/>
              <w:left w:val="single" w:sz="4" w:space="0" w:color="auto"/>
              <w:bottom w:val="single" w:sz="4" w:space="0" w:color="auto"/>
              <w:right w:val="nil"/>
            </w:tcBorders>
            <w:shd w:val="clear" w:color="auto" w:fill="auto"/>
            <w:noWrap/>
            <w:vAlign w:val="center"/>
            <w:hideMark/>
          </w:tcPr>
          <w:p w14:paraId="6278A45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203" w:type="dxa"/>
            <w:tcBorders>
              <w:top w:val="nil"/>
              <w:left w:val="nil"/>
              <w:bottom w:val="single" w:sz="4" w:space="0" w:color="auto"/>
              <w:right w:val="nil"/>
            </w:tcBorders>
            <w:shd w:val="clear" w:color="auto" w:fill="auto"/>
            <w:noWrap/>
            <w:vAlign w:val="center"/>
            <w:hideMark/>
          </w:tcPr>
          <w:p w14:paraId="4945C0B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057" w:type="dxa"/>
            <w:tcBorders>
              <w:top w:val="nil"/>
              <w:left w:val="single" w:sz="4" w:space="0" w:color="auto"/>
              <w:bottom w:val="single" w:sz="4" w:space="0" w:color="auto"/>
              <w:right w:val="nil"/>
            </w:tcBorders>
            <w:shd w:val="clear" w:color="auto" w:fill="auto"/>
            <w:noWrap/>
            <w:vAlign w:val="center"/>
            <w:hideMark/>
          </w:tcPr>
          <w:p w14:paraId="13FF639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c>
          <w:tcPr>
            <w:tcW w:w="1203" w:type="dxa"/>
            <w:tcBorders>
              <w:top w:val="nil"/>
              <w:left w:val="nil"/>
              <w:bottom w:val="single" w:sz="4" w:space="0" w:color="auto"/>
              <w:right w:val="single" w:sz="8" w:space="0" w:color="auto"/>
            </w:tcBorders>
            <w:shd w:val="clear" w:color="auto" w:fill="auto"/>
            <w:noWrap/>
            <w:vAlign w:val="center"/>
            <w:hideMark/>
          </w:tcPr>
          <w:p w14:paraId="479D087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r>
      <w:tr w:rsidR="00646037" w:rsidRPr="00646037" w14:paraId="4EC88940"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0ED077A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6E8ADC1D"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single" w:sz="4" w:space="0" w:color="auto"/>
              <w:bottom w:val="single" w:sz="4" w:space="0" w:color="auto"/>
              <w:right w:val="nil"/>
            </w:tcBorders>
            <w:shd w:val="clear" w:color="auto" w:fill="auto"/>
            <w:noWrap/>
            <w:vAlign w:val="center"/>
            <w:hideMark/>
          </w:tcPr>
          <w:p w14:paraId="602B494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77A8307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8.28</w:t>
            </w:r>
          </w:p>
        </w:tc>
        <w:tc>
          <w:tcPr>
            <w:tcW w:w="1057" w:type="dxa"/>
            <w:tcBorders>
              <w:top w:val="nil"/>
              <w:left w:val="single" w:sz="4" w:space="0" w:color="auto"/>
              <w:bottom w:val="single" w:sz="4" w:space="0" w:color="auto"/>
              <w:right w:val="nil"/>
            </w:tcBorders>
            <w:shd w:val="clear" w:color="auto" w:fill="auto"/>
            <w:noWrap/>
            <w:vAlign w:val="center"/>
            <w:hideMark/>
          </w:tcPr>
          <w:p w14:paraId="0A57499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51AF57C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12.77</w:t>
            </w:r>
          </w:p>
        </w:tc>
      </w:tr>
      <w:tr w:rsidR="00646037" w:rsidRPr="00646037" w14:paraId="5279659E"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7E46290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64A1B887"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single" w:sz="4" w:space="0" w:color="auto"/>
              <w:bottom w:val="single" w:sz="4" w:space="0" w:color="auto"/>
              <w:right w:val="nil"/>
            </w:tcBorders>
            <w:shd w:val="clear" w:color="auto" w:fill="auto"/>
            <w:noWrap/>
            <w:vAlign w:val="center"/>
            <w:hideMark/>
          </w:tcPr>
          <w:p w14:paraId="2B3106F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12E4BEC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6C77564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3935729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4EA9406C"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163C2DA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1DB1001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2A5C6B3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3688D03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39A8247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028BF7A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152A051A"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4E195F4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3E68204C"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3BABDBB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4B19396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21BCCFA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6378322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16F81FAD"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081269A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456AD4EC"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2E774B9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319C6C6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58F75EE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250048D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3BD6A27E"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47E3FE1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single" w:sz="4" w:space="0" w:color="auto"/>
              <w:right w:val="nil"/>
            </w:tcBorders>
            <w:shd w:val="clear" w:color="auto" w:fill="auto"/>
            <w:vAlign w:val="center"/>
            <w:hideMark/>
          </w:tcPr>
          <w:p w14:paraId="1096EAA8"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single" w:sz="4" w:space="0" w:color="auto"/>
              <w:bottom w:val="single" w:sz="4" w:space="0" w:color="auto"/>
              <w:right w:val="nil"/>
            </w:tcBorders>
            <w:shd w:val="clear" w:color="auto" w:fill="auto"/>
            <w:noWrap/>
            <w:vAlign w:val="center"/>
            <w:hideMark/>
          </w:tcPr>
          <w:p w14:paraId="08B4FB0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220E5C9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1C03A13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524BAA7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4CFC0517"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342495C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single" w:sz="4" w:space="0" w:color="auto"/>
              <w:right w:val="nil"/>
            </w:tcBorders>
            <w:shd w:val="clear" w:color="auto" w:fill="auto"/>
            <w:vAlign w:val="center"/>
            <w:hideMark/>
          </w:tcPr>
          <w:p w14:paraId="7A92397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single" w:sz="4" w:space="0" w:color="auto"/>
              <w:right w:val="nil"/>
            </w:tcBorders>
            <w:shd w:val="clear" w:color="auto" w:fill="auto"/>
            <w:noWrap/>
            <w:vAlign w:val="center"/>
            <w:hideMark/>
          </w:tcPr>
          <w:p w14:paraId="56B2C1E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22C6702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31C92D7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0DE2B30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159D2521" w14:textId="77777777" w:rsidTr="00646037">
        <w:trPr>
          <w:trHeight w:val="1620"/>
        </w:trPr>
        <w:tc>
          <w:tcPr>
            <w:tcW w:w="839" w:type="dxa"/>
            <w:tcBorders>
              <w:top w:val="nil"/>
              <w:left w:val="single" w:sz="8" w:space="0" w:color="auto"/>
              <w:bottom w:val="nil"/>
              <w:right w:val="nil"/>
            </w:tcBorders>
            <w:shd w:val="clear" w:color="auto" w:fill="auto"/>
            <w:noWrap/>
            <w:vAlign w:val="center"/>
            <w:hideMark/>
          </w:tcPr>
          <w:p w14:paraId="7B5C177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lastRenderedPageBreak/>
              <w:t>37237</w:t>
            </w:r>
          </w:p>
        </w:tc>
        <w:tc>
          <w:tcPr>
            <w:tcW w:w="5421" w:type="dxa"/>
            <w:tcBorders>
              <w:top w:val="nil"/>
              <w:left w:val="single" w:sz="4" w:space="0" w:color="auto"/>
              <w:bottom w:val="double" w:sz="6" w:space="0" w:color="auto"/>
              <w:right w:val="nil"/>
            </w:tcBorders>
            <w:shd w:val="clear" w:color="auto" w:fill="auto"/>
            <w:vAlign w:val="center"/>
            <w:hideMark/>
          </w:tcPr>
          <w:p w14:paraId="16FE62AB"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nil"/>
              <w:right w:val="nil"/>
            </w:tcBorders>
            <w:shd w:val="clear" w:color="auto" w:fill="auto"/>
            <w:noWrap/>
            <w:vAlign w:val="center"/>
            <w:hideMark/>
          </w:tcPr>
          <w:p w14:paraId="381BF39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nil"/>
              <w:right w:val="nil"/>
            </w:tcBorders>
            <w:shd w:val="clear" w:color="auto" w:fill="auto"/>
            <w:noWrap/>
            <w:vAlign w:val="center"/>
            <w:hideMark/>
          </w:tcPr>
          <w:p w14:paraId="235CCDE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3A542642"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nil"/>
              <w:right w:val="single" w:sz="8" w:space="0" w:color="auto"/>
            </w:tcBorders>
            <w:shd w:val="clear" w:color="auto" w:fill="auto"/>
            <w:noWrap/>
            <w:vAlign w:val="center"/>
            <w:hideMark/>
          </w:tcPr>
          <w:p w14:paraId="494C77C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1EEC5ED9" w14:textId="77777777" w:rsidTr="00646037">
        <w:trPr>
          <w:trHeight w:val="312"/>
        </w:trPr>
        <w:tc>
          <w:tcPr>
            <w:tcW w:w="839" w:type="dxa"/>
            <w:tcBorders>
              <w:top w:val="double" w:sz="6" w:space="0" w:color="auto"/>
              <w:left w:val="single" w:sz="8" w:space="0" w:color="auto"/>
              <w:bottom w:val="single" w:sz="8" w:space="0" w:color="auto"/>
              <w:right w:val="nil"/>
            </w:tcBorders>
            <w:shd w:val="clear" w:color="auto" w:fill="auto"/>
            <w:noWrap/>
            <w:vAlign w:val="center"/>
            <w:hideMark/>
          </w:tcPr>
          <w:p w14:paraId="48A6302A"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2A92988C"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double" w:sz="6" w:space="0" w:color="auto"/>
              <w:left w:val="single" w:sz="4" w:space="0" w:color="auto"/>
              <w:bottom w:val="single" w:sz="8" w:space="0" w:color="auto"/>
              <w:right w:val="nil"/>
            </w:tcBorders>
            <w:shd w:val="clear" w:color="auto" w:fill="auto"/>
            <w:noWrap/>
            <w:vAlign w:val="center"/>
            <w:hideMark/>
          </w:tcPr>
          <w:p w14:paraId="54F2EBCE"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nil"/>
            </w:tcBorders>
            <w:shd w:val="clear" w:color="auto" w:fill="auto"/>
            <w:noWrap/>
            <w:vAlign w:val="center"/>
            <w:hideMark/>
          </w:tcPr>
          <w:p w14:paraId="064D197A"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59.46</w:t>
            </w:r>
          </w:p>
        </w:tc>
        <w:tc>
          <w:tcPr>
            <w:tcW w:w="1057" w:type="dxa"/>
            <w:tcBorders>
              <w:top w:val="nil"/>
              <w:left w:val="single" w:sz="4" w:space="0" w:color="auto"/>
              <w:bottom w:val="single" w:sz="8" w:space="0" w:color="auto"/>
              <w:right w:val="nil"/>
            </w:tcBorders>
            <w:shd w:val="clear" w:color="auto" w:fill="auto"/>
            <w:noWrap/>
            <w:vAlign w:val="center"/>
            <w:hideMark/>
          </w:tcPr>
          <w:p w14:paraId="56D7166A"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double" w:sz="6" w:space="0" w:color="auto"/>
              <w:left w:val="nil"/>
              <w:bottom w:val="single" w:sz="8" w:space="0" w:color="auto"/>
              <w:right w:val="single" w:sz="8" w:space="0" w:color="auto"/>
            </w:tcBorders>
            <w:shd w:val="clear" w:color="auto" w:fill="auto"/>
            <w:noWrap/>
            <w:vAlign w:val="center"/>
            <w:hideMark/>
          </w:tcPr>
          <w:p w14:paraId="1483CA16"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88.90</w:t>
            </w:r>
          </w:p>
        </w:tc>
      </w:tr>
    </w:tbl>
    <w:p w14:paraId="6855ED06" w14:textId="77777777" w:rsidR="00646037" w:rsidRDefault="00646037">
      <w:r>
        <w:br w:type="page"/>
      </w:r>
    </w:p>
    <w:tbl>
      <w:tblPr>
        <w:tblW w:w="10780" w:type="dxa"/>
        <w:tblInd w:w="10" w:type="dxa"/>
        <w:tblLook w:val="04A0" w:firstRow="1" w:lastRow="0" w:firstColumn="1" w:lastColumn="0" w:noHBand="0" w:noVBand="1"/>
      </w:tblPr>
      <w:tblGrid>
        <w:gridCol w:w="839"/>
        <w:gridCol w:w="5421"/>
        <w:gridCol w:w="1057"/>
        <w:gridCol w:w="1203"/>
        <w:gridCol w:w="1057"/>
        <w:gridCol w:w="1203"/>
      </w:tblGrid>
      <w:tr w:rsidR="00646037" w:rsidRPr="00646037" w14:paraId="13853EAF" w14:textId="77777777" w:rsidTr="00646037">
        <w:trPr>
          <w:trHeight w:val="300"/>
        </w:trPr>
        <w:tc>
          <w:tcPr>
            <w:tcW w:w="839" w:type="dxa"/>
            <w:tcBorders>
              <w:top w:val="nil"/>
              <w:left w:val="nil"/>
              <w:bottom w:val="nil"/>
              <w:right w:val="nil"/>
            </w:tcBorders>
            <w:shd w:val="clear" w:color="auto" w:fill="auto"/>
            <w:noWrap/>
            <w:vAlign w:val="bottom"/>
            <w:hideMark/>
          </w:tcPr>
          <w:p w14:paraId="6CFF6ECA" w14:textId="5826ECC3" w:rsidR="00646037" w:rsidRPr="00646037" w:rsidRDefault="00646037" w:rsidP="00646037">
            <w:pPr>
              <w:jc w:val="center"/>
              <w:rPr>
                <w:rFonts w:ascii="Arial" w:eastAsia="Times New Roman" w:hAnsi="Arial" w:cs="Arial"/>
                <w:b/>
                <w:bCs/>
                <w:color w:val="000000"/>
                <w:sz w:val="18"/>
                <w:szCs w:val="18"/>
              </w:rPr>
            </w:pPr>
          </w:p>
        </w:tc>
        <w:tc>
          <w:tcPr>
            <w:tcW w:w="5421" w:type="dxa"/>
            <w:tcBorders>
              <w:top w:val="nil"/>
              <w:left w:val="nil"/>
              <w:bottom w:val="nil"/>
              <w:right w:val="nil"/>
            </w:tcBorders>
            <w:shd w:val="clear" w:color="auto" w:fill="auto"/>
            <w:noWrap/>
            <w:vAlign w:val="bottom"/>
            <w:hideMark/>
          </w:tcPr>
          <w:p w14:paraId="1E4A31EC"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1F69EC00"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3D8F777E" w14:textId="77777777" w:rsidR="00646037" w:rsidRPr="00646037" w:rsidRDefault="00646037" w:rsidP="00646037">
            <w:pPr>
              <w:rPr>
                <w:rFonts w:ascii="Times New Roman" w:eastAsia="Times New Roman" w:hAnsi="Times New Roman"/>
                <w:sz w:val="20"/>
                <w:szCs w:val="20"/>
              </w:rPr>
            </w:pPr>
          </w:p>
        </w:tc>
        <w:tc>
          <w:tcPr>
            <w:tcW w:w="1057" w:type="dxa"/>
            <w:tcBorders>
              <w:top w:val="nil"/>
              <w:left w:val="nil"/>
              <w:bottom w:val="nil"/>
              <w:right w:val="nil"/>
            </w:tcBorders>
            <w:shd w:val="clear" w:color="auto" w:fill="auto"/>
            <w:noWrap/>
            <w:vAlign w:val="bottom"/>
            <w:hideMark/>
          </w:tcPr>
          <w:p w14:paraId="43E7FF28" w14:textId="77777777" w:rsidR="00646037" w:rsidRPr="00646037" w:rsidRDefault="00646037" w:rsidP="00646037">
            <w:pPr>
              <w:rPr>
                <w:rFonts w:ascii="Times New Roman" w:eastAsia="Times New Roman" w:hAnsi="Times New Roman"/>
                <w:sz w:val="20"/>
                <w:szCs w:val="20"/>
              </w:rPr>
            </w:pPr>
          </w:p>
        </w:tc>
        <w:tc>
          <w:tcPr>
            <w:tcW w:w="1203" w:type="dxa"/>
            <w:tcBorders>
              <w:top w:val="nil"/>
              <w:left w:val="nil"/>
              <w:bottom w:val="nil"/>
              <w:right w:val="nil"/>
            </w:tcBorders>
            <w:shd w:val="clear" w:color="auto" w:fill="auto"/>
            <w:noWrap/>
            <w:vAlign w:val="bottom"/>
            <w:hideMark/>
          </w:tcPr>
          <w:p w14:paraId="363467F7" w14:textId="77777777" w:rsidR="00646037" w:rsidRPr="00646037" w:rsidRDefault="00646037" w:rsidP="00646037">
            <w:pPr>
              <w:rPr>
                <w:rFonts w:ascii="Times New Roman" w:eastAsia="Times New Roman" w:hAnsi="Times New Roman"/>
                <w:sz w:val="20"/>
                <w:szCs w:val="20"/>
              </w:rPr>
            </w:pPr>
          </w:p>
        </w:tc>
      </w:tr>
      <w:tr w:rsidR="00646037" w:rsidRPr="00646037" w14:paraId="4D765BC3" w14:textId="77777777" w:rsidTr="00646037">
        <w:trPr>
          <w:trHeight w:val="1299"/>
        </w:trPr>
        <w:tc>
          <w:tcPr>
            <w:tcW w:w="839" w:type="dxa"/>
            <w:tcBorders>
              <w:top w:val="single" w:sz="8" w:space="0" w:color="auto"/>
              <w:left w:val="single" w:sz="8" w:space="0" w:color="auto"/>
              <w:bottom w:val="single" w:sz="8" w:space="0" w:color="auto"/>
              <w:right w:val="nil"/>
            </w:tcBorders>
            <w:shd w:val="clear" w:color="000000" w:fill="D9D9D9"/>
            <w:noWrap/>
            <w:vAlign w:val="center"/>
            <w:hideMark/>
          </w:tcPr>
          <w:p w14:paraId="79C26BC7"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34848</w:t>
            </w:r>
          </w:p>
        </w:tc>
        <w:tc>
          <w:tcPr>
            <w:tcW w:w="9941" w:type="dxa"/>
            <w:gridSpan w:val="5"/>
            <w:tcBorders>
              <w:top w:val="single" w:sz="8" w:space="0" w:color="auto"/>
              <w:left w:val="nil"/>
              <w:bottom w:val="single" w:sz="8" w:space="0" w:color="auto"/>
              <w:right w:val="single" w:sz="8" w:space="0" w:color="000000"/>
            </w:tcBorders>
            <w:shd w:val="clear" w:color="000000" w:fill="D9D9D9"/>
            <w:vAlign w:val="center"/>
            <w:hideMark/>
          </w:tcPr>
          <w:p w14:paraId="32ADB7F1" w14:textId="77777777" w:rsidR="00646037" w:rsidRPr="00646037" w:rsidRDefault="00646037" w:rsidP="00646037">
            <w:pPr>
              <w:rPr>
                <w:rFonts w:ascii="Arial" w:eastAsia="Times New Roman" w:hAnsi="Arial" w:cs="Arial"/>
                <w:b/>
                <w:bCs/>
                <w:i/>
                <w:iCs/>
                <w:color w:val="000000"/>
                <w:sz w:val="18"/>
                <w:szCs w:val="18"/>
              </w:rPr>
            </w:pPr>
            <w:r w:rsidRPr="00646037">
              <w:rPr>
                <w:rFonts w:ascii="Arial" w:eastAsia="Times New Roman" w:hAnsi="Arial" w:cs="Arial"/>
                <w:b/>
                <w:bCs/>
                <w:i/>
                <w:iCs/>
                <w:color w:val="000000"/>
                <w:sz w:val="18"/>
                <w:szCs w:val="18"/>
              </w:rPr>
              <w:t>Endovascular repair of visceral aorta and infrarenal abdominal aorta (eg, aneurysm, pseudoaneurysm, dissection, penetrating ulcer, intramural hematoma, or traumatic disruption) by deployment of a fenestrated visceral aortic endograft and all associated radiological supervision and interpretation, including target zone angioplasty, when performed; including four or more visceral artery endoprostheses (superior mesenteric, celiac or renal artery)</w:t>
            </w:r>
          </w:p>
        </w:tc>
      </w:tr>
      <w:tr w:rsidR="00646037" w:rsidRPr="00646037" w14:paraId="59BCD6B9" w14:textId="77777777" w:rsidTr="00646037">
        <w:trPr>
          <w:trHeight w:val="2100"/>
        </w:trPr>
        <w:tc>
          <w:tcPr>
            <w:tcW w:w="839" w:type="dxa"/>
            <w:tcBorders>
              <w:top w:val="nil"/>
              <w:left w:val="single" w:sz="8" w:space="0" w:color="auto"/>
              <w:bottom w:val="single" w:sz="4" w:space="0" w:color="auto"/>
              <w:right w:val="nil"/>
            </w:tcBorders>
            <w:shd w:val="clear" w:color="auto" w:fill="auto"/>
            <w:noWrap/>
            <w:vAlign w:val="center"/>
            <w:hideMark/>
          </w:tcPr>
          <w:p w14:paraId="50AB1F0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34705</w:t>
            </w:r>
          </w:p>
        </w:tc>
        <w:tc>
          <w:tcPr>
            <w:tcW w:w="5421" w:type="dxa"/>
            <w:tcBorders>
              <w:top w:val="nil"/>
              <w:left w:val="single" w:sz="4" w:space="0" w:color="auto"/>
              <w:bottom w:val="single" w:sz="4" w:space="0" w:color="auto"/>
              <w:right w:val="nil"/>
            </w:tcBorders>
            <w:shd w:val="clear" w:color="auto" w:fill="auto"/>
            <w:vAlign w:val="center"/>
            <w:hideMark/>
          </w:tcPr>
          <w:p w14:paraId="4FD34669"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Endovascular repair of infrarenal aorta and/or iliac artery(</w:t>
            </w:r>
            <w:proofErr w:type="spellStart"/>
            <w:r w:rsidRPr="00646037">
              <w:rPr>
                <w:rFonts w:ascii="Arial" w:eastAsia="Times New Roman" w:hAnsi="Arial" w:cs="Arial"/>
                <w:color w:val="000000"/>
                <w:sz w:val="18"/>
                <w:szCs w:val="18"/>
              </w:rPr>
              <w:t>ies</w:t>
            </w:r>
            <w:proofErr w:type="spellEnd"/>
            <w:r w:rsidRPr="00646037">
              <w:rPr>
                <w:rFonts w:ascii="Arial" w:eastAsia="Times New Roman" w:hAnsi="Arial" w:cs="Arial"/>
                <w:color w:val="000000"/>
                <w:sz w:val="18"/>
                <w:szCs w:val="18"/>
              </w:rPr>
              <w:t>)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c>
          <w:tcPr>
            <w:tcW w:w="1057" w:type="dxa"/>
            <w:tcBorders>
              <w:top w:val="nil"/>
              <w:left w:val="single" w:sz="4" w:space="0" w:color="auto"/>
              <w:bottom w:val="single" w:sz="4" w:space="0" w:color="auto"/>
              <w:right w:val="nil"/>
            </w:tcBorders>
            <w:shd w:val="clear" w:color="auto" w:fill="auto"/>
            <w:noWrap/>
            <w:vAlign w:val="center"/>
            <w:hideMark/>
          </w:tcPr>
          <w:p w14:paraId="7740FA51"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203" w:type="dxa"/>
            <w:tcBorders>
              <w:top w:val="nil"/>
              <w:left w:val="nil"/>
              <w:bottom w:val="single" w:sz="4" w:space="0" w:color="auto"/>
              <w:right w:val="nil"/>
            </w:tcBorders>
            <w:shd w:val="clear" w:color="auto" w:fill="auto"/>
            <w:noWrap/>
            <w:vAlign w:val="center"/>
            <w:hideMark/>
          </w:tcPr>
          <w:p w14:paraId="12CFDCE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29.58</w:t>
            </w:r>
          </w:p>
        </w:tc>
        <w:tc>
          <w:tcPr>
            <w:tcW w:w="1057" w:type="dxa"/>
            <w:tcBorders>
              <w:top w:val="nil"/>
              <w:left w:val="single" w:sz="4" w:space="0" w:color="auto"/>
              <w:bottom w:val="single" w:sz="4" w:space="0" w:color="auto"/>
              <w:right w:val="nil"/>
            </w:tcBorders>
            <w:shd w:val="clear" w:color="auto" w:fill="auto"/>
            <w:noWrap/>
            <w:vAlign w:val="center"/>
            <w:hideMark/>
          </w:tcPr>
          <w:p w14:paraId="4B5A5DEA"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c>
          <w:tcPr>
            <w:tcW w:w="1203" w:type="dxa"/>
            <w:tcBorders>
              <w:top w:val="nil"/>
              <w:left w:val="nil"/>
              <w:bottom w:val="single" w:sz="4" w:space="0" w:color="auto"/>
              <w:right w:val="single" w:sz="8" w:space="0" w:color="auto"/>
            </w:tcBorders>
            <w:shd w:val="clear" w:color="auto" w:fill="auto"/>
            <w:noWrap/>
            <w:vAlign w:val="center"/>
            <w:hideMark/>
          </w:tcPr>
          <w:p w14:paraId="64D1A53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44.53</w:t>
            </w:r>
          </w:p>
        </w:tc>
      </w:tr>
      <w:tr w:rsidR="00646037" w:rsidRPr="00646037" w14:paraId="07CC659F"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3C864E9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07812F4E"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Visceral segment (34710 &amp; 33886)</w:t>
            </w:r>
          </w:p>
        </w:tc>
        <w:tc>
          <w:tcPr>
            <w:tcW w:w="1057" w:type="dxa"/>
            <w:tcBorders>
              <w:top w:val="nil"/>
              <w:left w:val="single" w:sz="4" w:space="0" w:color="auto"/>
              <w:bottom w:val="single" w:sz="4" w:space="0" w:color="auto"/>
              <w:right w:val="nil"/>
            </w:tcBorders>
            <w:shd w:val="clear" w:color="auto" w:fill="auto"/>
            <w:noWrap/>
            <w:vAlign w:val="center"/>
            <w:hideMark/>
          </w:tcPr>
          <w:p w14:paraId="020064E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16.55</w:t>
            </w:r>
          </w:p>
        </w:tc>
        <w:tc>
          <w:tcPr>
            <w:tcW w:w="1203" w:type="dxa"/>
            <w:tcBorders>
              <w:top w:val="nil"/>
              <w:left w:val="nil"/>
              <w:bottom w:val="single" w:sz="4" w:space="0" w:color="auto"/>
              <w:right w:val="nil"/>
            </w:tcBorders>
            <w:shd w:val="clear" w:color="auto" w:fill="auto"/>
            <w:noWrap/>
            <w:vAlign w:val="center"/>
            <w:hideMark/>
          </w:tcPr>
          <w:p w14:paraId="642BDA2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8.28</w:t>
            </w:r>
          </w:p>
        </w:tc>
        <w:tc>
          <w:tcPr>
            <w:tcW w:w="1057" w:type="dxa"/>
            <w:tcBorders>
              <w:top w:val="nil"/>
              <w:left w:val="single" w:sz="4" w:space="0" w:color="auto"/>
              <w:bottom w:val="single" w:sz="4" w:space="0" w:color="auto"/>
              <w:right w:val="nil"/>
            </w:tcBorders>
            <w:shd w:val="clear" w:color="auto" w:fill="auto"/>
            <w:noWrap/>
            <w:vAlign w:val="center"/>
            <w:hideMark/>
          </w:tcPr>
          <w:p w14:paraId="015C8A5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25.53</w:t>
            </w:r>
          </w:p>
        </w:tc>
        <w:tc>
          <w:tcPr>
            <w:tcW w:w="1203" w:type="dxa"/>
            <w:tcBorders>
              <w:top w:val="nil"/>
              <w:left w:val="nil"/>
              <w:bottom w:val="single" w:sz="4" w:space="0" w:color="auto"/>
              <w:right w:val="single" w:sz="8" w:space="0" w:color="auto"/>
            </w:tcBorders>
            <w:shd w:val="clear" w:color="auto" w:fill="auto"/>
            <w:noWrap/>
            <w:vAlign w:val="center"/>
            <w:hideMark/>
          </w:tcPr>
          <w:p w14:paraId="5633443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12.77</w:t>
            </w:r>
          </w:p>
        </w:tc>
      </w:tr>
      <w:tr w:rsidR="00646037" w:rsidRPr="00646037" w14:paraId="5B843026" w14:textId="77777777" w:rsidTr="00646037">
        <w:trPr>
          <w:trHeight w:val="288"/>
        </w:trPr>
        <w:tc>
          <w:tcPr>
            <w:tcW w:w="839" w:type="dxa"/>
            <w:tcBorders>
              <w:top w:val="nil"/>
              <w:left w:val="single" w:sz="8" w:space="0" w:color="auto"/>
              <w:bottom w:val="single" w:sz="4" w:space="0" w:color="auto"/>
              <w:right w:val="nil"/>
            </w:tcBorders>
            <w:shd w:val="clear" w:color="auto" w:fill="auto"/>
            <w:noWrap/>
            <w:vAlign w:val="center"/>
            <w:hideMark/>
          </w:tcPr>
          <w:p w14:paraId="476344D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Blend</w:t>
            </w:r>
          </w:p>
        </w:tc>
        <w:tc>
          <w:tcPr>
            <w:tcW w:w="5421" w:type="dxa"/>
            <w:tcBorders>
              <w:top w:val="nil"/>
              <w:left w:val="single" w:sz="4" w:space="0" w:color="auto"/>
              <w:bottom w:val="single" w:sz="4" w:space="0" w:color="auto"/>
              <w:right w:val="nil"/>
            </w:tcBorders>
            <w:shd w:val="clear" w:color="auto" w:fill="auto"/>
            <w:noWrap/>
            <w:vAlign w:val="center"/>
            <w:hideMark/>
          </w:tcPr>
          <w:p w14:paraId="4654381B"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Blend of TEVAR S&amp;I (75959/2)</w:t>
            </w:r>
          </w:p>
        </w:tc>
        <w:tc>
          <w:tcPr>
            <w:tcW w:w="1057" w:type="dxa"/>
            <w:tcBorders>
              <w:top w:val="nil"/>
              <w:left w:val="single" w:sz="4" w:space="0" w:color="auto"/>
              <w:bottom w:val="single" w:sz="4" w:space="0" w:color="auto"/>
              <w:right w:val="nil"/>
            </w:tcBorders>
            <w:shd w:val="clear" w:color="auto" w:fill="auto"/>
            <w:noWrap/>
            <w:vAlign w:val="center"/>
            <w:hideMark/>
          </w:tcPr>
          <w:p w14:paraId="27F93B6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203" w:type="dxa"/>
            <w:tcBorders>
              <w:top w:val="nil"/>
              <w:left w:val="nil"/>
              <w:bottom w:val="single" w:sz="4" w:space="0" w:color="auto"/>
              <w:right w:val="nil"/>
            </w:tcBorders>
            <w:shd w:val="clear" w:color="auto" w:fill="auto"/>
            <w:noWrap/>
            <w:vAlign w:val="center"/>
            <w:hideMark/>
          </w:tcPr>
          <w:p w14:paraId="1F689ED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1.75</w:t>
            </w:r>
          </w:p>
        </w:tc>
        <w:tc>
          <w:tcPr>
            <w:tcW w:w="1057" w:type="dxa"/>
            <w:tcBorders>
              <w:top w:val="nil"/>
              <w:left w:val="single" w:sz="4" w:space="0" w:color="auto"/>
              <w:bottom w:val="single" w:sz="4" w:space="0" w:color="auto"/>
              <w:right w:val="nil"/>
            </w:tcBorders>
            <w:shd w:val="clear" w:color="auto" w:fill="auto"/>
            <w:noWrap/>
            <w:vAlign w:val="center"/>
            <w:hideMark/>
          </w:tcPr>
          <w:p w14:paraId="0BA3197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c>
          <w:tcPr>
            <w:tcW w:w="1203" w:type="dxa"/>
            <w:tcBorders>
              <w:top w:val="nil"/>
              <w:left w:val="nil"/>
              <w:bottom w:val="single" w:sz="4" w:space="0" w:color="auto"/>
              <w:right w:val="single" w:sz="8" w:space="0" w:color="auto"/>
            </w:tcBorders>
            <w:shd w:val="clear" w:color="auto" w:fill="auto"/>
            <w:noWrap/>
            <w:vAlign w:val="center"/>
            <w:hideMark/>
          </w:tcPr>
          <w:p w14:paraId="0B15B9C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2.45</w:t>
            </w:r>
          </w:p>
        </w:tc>
      </w:tr>
      <w:tr w:rsidR="00646037" w:rsidRPr="00646037" w14:paraId="5B9BCE65"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7938187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781068D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2892326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0BA48BD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4295523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758071D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08022EEA"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0349E69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4520DA6B"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18681C5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6D14A59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4C21D6E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493EC46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5CE5627F"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56CE8C04"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4CDE5A75"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09410EA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1FDBCF7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4EB30E4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463791E9"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3C88A808" w14:textId="77777777" w:rsidTr="00646037">
        <w:trPr>
          <w:trHeight w:val="699"/>
        </w:trPr>
        <w:tc>
          <w:tcPr>
            <w:tcW w:w="839" w:type="dxa"/>
            <w:tcBorders>
              <w:top w:val="nil"/>
              <w:left w:val="single" w:sz="8" w:space="0" w:color="auto"/>
              <w:bottom w:val="single" w:sz="4" w:space="0" w:color="auto"/>
              <w:right w:val="nil"/>
            </w:tcBorders>
            <w:shd w:val="clear" w:color="auto" w:fill="auto"/>
            <w:noWrap/>
            <w:vAlign w:val="center"/>
            <w:hideMark/>
          </w:tcPr>
          <w:p w14:paraId="67008D9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36245</w:t>
            </w:r>
          </w:p>
        </w:tc>
        <w:tc>
          <w:tcPr>
            <w:tcW w:w="5421" w:type="dxa"/>
            <w:tcBorders>
              <w:top w:val="nil"/>
              <w:left w:val="single" w:sz="4" w:space="0" w:color="auto"/>
              <w:bottom w:val="single" w:sz="4" w:space="0" w:color="auto"/>
              <w:right w:val="nil"/>
            </w:tcBorders>
            <w:shd w:val="clear" w:color="auto" w:fill="auto"/>
            <w:vAlign w:val="center"/>
            <w:hideMark/>
          </w:tcPr>
          <w:p w14:paraId="1B44791A"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Selective catheter placement, arterial system; each first order abdominal, pelvic, or lower extremity artery branch, within a vascular family</w:t>
            </w:r>
          </w:p>
        </w:tc>
        <w:tc>
          <w:tcPr>
            <w:tcW w:w="1057" w:type="dxa"/>
            <w:tcBorders>
              <w:top w:val="nil"/>
              <w:left w:val="single" w:sz="4" w:space="0" w:color="auto"/>
              <w:bottom w:val="single" w:sz="4" w:space="0" w:color="auto"/>
              <w:right w:val="nil"/>
            </w:tcBorders>
            <w:shd w:val="clear" w:color="auto" w:fill="auto"/>
            <w:noWrap/>
            <w:vAlign w:val="center"/>
            <w:hideMark/>
          </w:tcPr>
          <w:p w14:paraId="2CE6AA7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4.65</w:t>
            </w:r>
          </w:p>
        </w:tc>
        <w:tc>
          <w:tcPr>
            <w:tcW w:w="1203" w:type="dxa"/>
            <w:tcBorders>
              <w:top w:val="nil"/>
              <w:left w:val="nil"/>
              <w:bottom w:val="single" w:sz="4" w:space="0" w:color="auto"/>
              <w:right w:val="nil"/>
            </w:tcBorders>
            <w:shd w:val="clear" w:color="auto" w:fill="auto"/>
            <w:noWrap/>
            <w:vAlign w:val="center"/>
            <w:hideMark/>
          </w:tcPr>
          <w:p w14:paraId="2826972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2.33</w:t>
            </w:r>
          </w:p>
        </w:tc>
        <w:tc>
          <w:tcPr>
            <w:tcW w:w="1057" w:type="dxa"/>
            <w:tcBorders>
              <w:top w:val="nil"/>
              <w:left w:val="single" w:sz="4" w:space="0" w:color="auto"/>
              <w:bottom w:val="single" w:sz="4" w:space="0" w:color="auto"/>
              <w:right w:val="nil"/>
            </w:tcBorders>
            <w:shd w:val="clear" w:color="auto" w:fill="auto"/>
            <w:noWrap/>
            <w:vAlign w:val="center"/>
            <w:hideMark/>
          </w:tcPr>
          <w:p w14:paraId="6B80CF8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6.89</w:t>
            </w:r>
          </w:p>
        </w:tc>
        <w:tc>
          <w:tcPr>
            <w:tcW w:w="1203" w:type="dxa"/>
            <w:tcBorders>
              <w:top w:val="nil"/>
              <w:left w:val="nil"/>
              <w:bottom w:val="single" w:sz="4" w:space="0" w:color="auto"/>
              <w:right w:val="single" w:sz="8" w:space="0" w:color="auto"/>
            </w:tcBorders>
            <w:shd w:val="clear" w:color="auto" w:fill="auto"/>
            <w:noWrap/>
            <w:vAlign w:val="center"/>
            <w:hideMark/>
          </w:tcPr>
          <w:p w14:paraId="47A5BE7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3.45</w:t>
            </w:r>
          </w:p>
        </w:tc>
      </w:tr>
      <w:tr w:rsidR="00646037" w:rsidRPr="00646037" w14:paraId="67600D43" w14:textId="77777777" w:rsidTr="00646037">
        <w:trPr>
          <w:trHeight w:val="1419"/>
        </w:trPr>
        <w:tc>
          <w:tcPr>
            <w:tcW w:w="839" w:type="dxa"/>
            <w:tcBorders>
              <w:top w:val="nil"/>
              <w:left w:val="single" w:sz="8" w:space="0" w:color="auto"/>
              <w:bottom w:val="single" w:sz="4" w:space="0" w:color="auto"/>
              <w:right w:val="nil"/>
            </w:tcBorders>
            <w:shd w:val="clear" w:color="auto" w:fill="auto"/>
            <w:noWrap/>
            <w:vAlign w:val="center"/>
            <w:hideMark/>
          </w:tcPr>
          <w:p w14:paraId="61A31BB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37236</w:t>
            </w:r>
          </w:p>
        </w:tc>
        <w:tc>
          <w:tcPr>
            <w:tcW w:w="5421" w:type="dxa"/>
            <w:tcBorders>
              <w:top w:val="nil"/>
              <w:left w:val="single" w:sz="4" w:space="0" w:color="auto"/>
              <w:bottom w:val="single" w:sz="4" w:space="0" w:color="auto"/>
              <w:right w:val="nil"/>
            </w:tcBorders>
            <w:shd w:val="clear" w:color="auto" w:fill="auto"/>
            <w:vAlign w:val="center"/>
            <w:hideMark/>
          </w:tcPr>
          <w:p w14:paraId="496B0908"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initial artery</w:t>
            </w:r>
          </w:p>
        </w:tc>
        <w:tc>
          <w:tcPr>
            <w:tcW w:w="1057" w:type="dxa"/>
            <w:tcBorders>
              <w:top w:val="nil"/>
              <w:left w:val="single" w:sz="4" w:space="0" w:color="auto"/>
              <w:bottom w:val="single" w:sz="4" w:space="0" w:color="auto"/>
              <w:right w:val="nil"/>
            </w:tcBorders>
            <w:shd w:val="clear" w:color="auto" w:fill="auto"/>
            <w:noWrap/>
            <w:vAlign w:val="center"/>
            <w:hideMark/>
          </w:tcPr>
          <w:p w14:paraId="2A4651A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8.75</w:t>
            </w:r>
          </w:p>
        </w:tc>
        <w:tc>
          <w:tcPr>
            <w:tcW w:w="1203" w:type="dxa"/>
            <w:tcBorders>
              <w:top w:val="nil"/>
              <w:left w:val="nil"/>
              <w:bottom w:val="single" w:sz="4" w:space="0" w:color="auto"/>
              <w:right w:val="nil"/>
            </w:tcBorders>
            <w:shd w:val="clear" w:color="auto" w:fill="auto"/>
            <w:noWrap/>
            <w:vAlign w:val="center"/>
            <w:hideMark/>
          </w:tcPr>
          <w:p w14:paraId="66B7FE3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4.38</w:t>
            </w:r>
          </w:p>
        </w:tc>
        <w:tc>
          <w:tcPr>
            <w:tcW w:w="1057" w:type="dxa"/>
            <w:tcBorders>
              <w:top w:val="nil"/>
              <w:left w:val="single" w:sz="4" w:space="0" w:color="auto"/>
              <w:bottom w:val="single" w:sz="4" w:space="0" w:color="auto"/>
              <w:right w:val="nil"/>
            </w:tcBorders>
            <w:shd w:val="clear" w:color="auto" w:fill="auto"/>
            <w:noWrap/>
            <w:vAlign w:val="center"/>
            <w:hideMark/>
          </w:tcPr>
          <w:p w14:paraId="3B9F54F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12.93</w:t>
            </w:r>
          </w:p>
        </w:tc>
        <w:tc>
          <w:tcPr>
            <w:tcW w:w="1203" w:type="dxa"/>
            <w:tcBorders>
              <w:top w:val="nil"/>
              <w:left w:val="nil"/>
              <w:bottom w:val="single" w:sz="4" w:space="0" w:color="auto"/>
              <w:right w:val="single" w:sz="8" w:space="0" w:color="auto"/>
            </w:tcBorders>
            <w:shd w:val="clear" w:color="auto" w:fill="auto"/>
            <w:noWrap/>
            <w:vAlign w:val="center"/>
            <w:hideMark/>
          </w:tcPr>
          <w:p w14:paraId="6A8ABC2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6.47</w:t>
            </w:r>
          </w:p>
        </w:tc>
      </w:tr>
      <w:tr w:rsidR="00646037" w:rsidRPr="00646037" w14:paraId="028A4FA5"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6AE9A3EC"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single" w:sz="4" w:space="0" w:color="auto"/>
              <w:right w:val="nil"/>
            </w:tcBorders>
            <w:shd w:val="clear" w:color="auto" w:fill="auto"/>
            <w:vAlign w:val="center"/>
            <w:hideMark/>
          </w:tcPr>
          <w:p w14:paraId="204273BF"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single" w:sz="4" w:space="0" w:color="auto"/>
              <w:right w:val="nil"/>
            </w:tcBorders>
            <w:shd w:val="clear" w:color="auto" w:fill="auto"/>
            <w:noWrap/>
            <w:vAlign w:val="center"/>
            <w:hideMark/>
          </w:tcPr>
          <w:p w14:paraId="305F2627"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4D476FBF"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4896DA7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5E47C62B"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1507657B" w14:textId="77777777" w:rsidTr="00646037">
        <w:trPr>
          <w:trHeight w:val="1620"/>
        </w:trPr>
        <w:tc>
          <w:tcPr>
            <w:tcW w:w="839" w:type="dxa"/>
            <w:tcBorders>
              <w:top w:val="nil"/>
              <w:left w:val="single" w:sz="8" w:space="0" w:color="auto"/>
              <w:bottom w:val="single" w:sz="4" w:space="0" w:color="auto"/>
              <w:right w:val="nil"/>
            </w:tcBorders>
            <w:shd w:val="clear" w:color="auto" w:fill="auto"/>
            <w:noWrap/>
            <w:vAlign w:val="center"/>
            <w:hideMark/>
          </w:tcPr>
          <w:p w14:paraId="0F1E0F43"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lastRenderedPageBreak/>
              <w:t>37237</w:t>
            </w:r>
          </w:p>
        </w:tc>
        <w:tc>
          <w:tcPr>
            <w:tcW w:w="5421" w:type="dxa"/>
            <w:tcBorders>
              <w:top w:val="nil"/>
              <w:left w:val="single" w:sz="4" w:space="0" w:color="auto"/>
              <w:bottom w:val="single" w:sz="4" w:space="0" w:color="auto"/>
              <w:right w:val="nil"/>
            </w:tcBorders>
            <w:shd w:val="clear" w:color="auto" w:fill="auto"/>
            <w:vAlign w:val="center"/>
            <w:hideMark/>
          </w:tcPr>
          <w:p w14:paraId="0F3C382A"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single" w:sz="4" w:space="0" w:color="auto"/>
              <w:right w:val="nil"/>
            </w:tcBorders>
            <w:shd w:val="clear" w:color="auto" w:fill="auto"/>
            <w:noWrap/>
            <w:vAlign w:val="center"/>
            <w:hideMark/>
          </w:tcPr>
          <w:p w14:paraId="14435DEE"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single" w:sz="4" w:space="0" w:color="auto"/>
              <w:right w:val="nil"/>
            </w:tcBorders>
            <w:shd w:val="clear" w:color="auto" w:fill="auto"/>
            <w:noWrap/>
            <w:vAlign w:val="center"/>
            <w:hideMark/>
          </w:tcPr>
          <w:p w14:paraId="77772F8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single" w:sz="4" w:space="0" w:color="auto"/>
              <w:right w:val="nil"/>
            </w:tcBorders>
            <w:shd w:val="clear" w:color="auto" w:fill="auto"/>
            <w:noWrap/>
            <w:vAlign w:val="center"/>
            <w:hideMark/>
          </w:tcPr>
          <w:p w14:paraId="326827FD"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single" w:sz="4" w:space="0" w:color="auto"/>
              <w:right w:val="single" w:sz="8" w:space="0" w:color="auto"/>
            </w:tcBorders>
            <w:shd w:val="clear" w:color="auto" w:fill="auto"/>
            <w:noWrap/>
            <w:vAlign w:val="center"/>
            <w:hideMark/>
          </w:tcPr>
          <w:p w14:paraId="60D2E0D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5965F4C7" w14:textId="77777777" w:rsidTr="00646037">
        <w:trPr>
          <w:trHeight w:val="1620"/>
        </w:trPr>
        <w:tc>
          <w:tcPr>
            <w:tcW w:w="839" w:type="dxa"/>
            <w:tcBorders>
              <w:top w:val="nil"/>
              <w:left w:val="single" w:sz="8" w:space="0" w:color="auto"/>
              <w:bottom w:val="double" w:sz="6" w:space="0" w:color="auto"/>
              <w:right w:val="nil"/>
            </w:tcBorders>
            <w:shd w:val="clear" w:color="auto" w:fill="auto"/>
            <w:noWrap/>
            <w:vAlign w:val="center"/>
            <w:hideMark/>
          </w:tcPr>
          <w:p w14:paraId="57CCD1F6"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37237</w:t>
            </w:r>
          </w:p>
        </w:tc>
        <w:tc>
          <w:tcPr>
            <w:tcW w:w="5421" w:type="dxa"/>
            <w:tcBorders>
              <w:top w:val="nil"/>
              <w:left w:val="single" w:sz="4" w:space="0" w:color="auto"/>
              <w:bottom w:val="double" w:sz="6" w:space="0" w:color="auto"/>
              <w:right w:val="nil"/>
            </w:tcBorders>
            <w:shd w:val="clear" w:color="auto" w:fill="auto"/>
            <w:vAlign w:val="center"/>
            <w:hideMark/>
          </w:tcPr>
          <w:p w14:paraId="679F9FA2" w14:textId="77777777" w:rsidR="00646037" w:rsidRPr="00646037" w:rsidRDefault="00646037" w:rsidP="00646037">
            <w:pPr>
              <w:rPr>
                <w:rFonts w:ascii="Arial" w:eastAsia="Times New Roman" w:hAnsi="Arial" w:cs="Arial"/>
                <w:color w:val="000000"/>
                <w:sz w:val="18"/>
                <w:szCs w:val="18"/>
              </w:rPr>
            </w:pPr>
            <w:r w:rsidRPr="00646037">
              <w:rPr>
                <w:rFonts w:ascii="Arial" w:eastAsia="Times New Roman" w:hAnsi="Arial" w:cs="Arial"/>
                <w:color w:val="000000"/>
                <w:sz w:val="18"/>
                <w:szCs w:val="18"/>
              </w:rPr>
              <w:t>Transcatheter placement of an intravascular stent(s) (except lower extremity, cervical carotid, extracranial vertebral or intrathoracic carotid, intracranial, or coronary), open or percutaneous, including radiological supervision and interpretation and including all angioplasty within the same vessel, when performed; each additional artery (List separately in addition to code for primary procedure)</w:t>
            </w:r>
          </w:p>
        </w:tc>
        <w:tc>
          <w:tcPr>
            <w:tcW w:w="1057" w:type="dxa"/>
            <w:tcBorders>
              <w:top w:val="nil"/>
              <w:left w:val="single" w:sz="4" w:space="0" w:color="auto"/>
              <w:bottom w:val="double" w:sz="6" w:space="0" w:color="auto"/>
              <w:right w:val="nil"/>
            </w:tcBorders>
            <w:shd w:val="clear" w:color="auto" w:fill="auto"/>
            <w:noWrap/>
            <w:vAlign w:val="center"/>
            <w:hideMark/>
          </w:tcPr>
          <w:p w14:paraId="71BBFED0"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203" w:type="dxa"/>
            <w:tcBorders>
              <w:top w:val="nil"/>
              <w:left w:val="nil"/>
              <w:bottom w:val="double" w:sz="6" w:space="0" w:color="auto"/>
              <w:right w:val="nil"/>
            </w:tcBorders>
            <w:shd w:val="clear" w:color="auto" w:fill="auto"/>
            <w:noWrap/>
            <w:vAlign w:val="center"/>
            <w:hideMark/>
          </w:tcPr>
          <w:p w14:paraId="542B6028"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4.25</w:t>
            </w:r>
          </w:p>
        </w:tc>
        <w:tc>
          <w:tcPr>
            <w:tcW w:w="1057" w:type="dxa"/>
            <w:tcBorders>
              <w:top w:val="nil"/>
              <w:left w:val="single" w:sz="4" w:space="0" w:color="auto"/>
              <w:bottom w:val="double" w:sz="6" w:space="0" w:color="auto"/>
              <w:right w:val="nil"/>
            </w:tcBorders>
            <w:shd w:val="clear" w:color="auto" w:fill="auto"/>
            <w:noWrap/>
            <w:vAlign w:val="center"/>
            <w:hideMark/>
          </w:tcPr>
          <w:p w14:paraId="1F14BC4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c>
          <w:tcPr>
            <w:tcW w:w="1203" w:type="dxa"/>
            <w:tcBorders>
              <w:top w:val="nil"/>
              <w:left w:val="nil"/>
              <w:bottom w:val="double" w:sz="6" w:space="0" w:color="auto"/>
              <w:right w:val="single" w:sz="8" w:space="0" w:color="auto"/>
            </w:tcBorders>
            <w:shd w:val="clear" w:color="auto" w:fill="auto"/>
            <w:noWrap/>
            <w:vAlign w:val="center"/>
            <w:hideMark/>
          </w:tcPr>
          <w:p w14:paraId="79875F75" w14:textId="77777777" w:rsidR="00646037" w:rsidRPr="00646037" w:rsidRDefault="00646037" w:rsidP="00646037">
            <w:pPr>
              <w:jc w:val="center"/>
              <w:rPr>
                <w:rFonts w:ascii="Arial" w:eastAsia="Times New Roman" w:hAnsi="Arial" w:cs="Arial"/>
                <w:color w:val="000000"/>
                <w:sz w:val="18"/>
                <w:szCs w:val="18"/>
              </w:rPr>
            </w:pPr>
            <w:r w:rsidRPr="00646037">
              <w:rPr>
                <w:rFonts w:ascii="Arial" w:eastAsia="Times New Roman" w:hAnsi="Arial" w:cs="Arial"/>
                <w:color w:val="000000"/>
                <w:sz w:val="18"/>
                <w:szCs w:val="18"/>
              </w:rPr>
              <w:t>6.18</w:t>
            </w:r>
          </w:p>
        </w:tc>
      </w:tr>
      <w:tr w:rsidR="00646037" w:rsidRPr="00646037" w14:paraId="2350DFDF" w14:textId="77777777" w:rsidTr="00646037">
        <w:trPr>
          <w:trHeight w:val="312"/>
        </w:trPr>
        <w:tc>
          <w:tcPr>
            <w:tcW w:w="839" w:type="dxa"/>
            <w:tcBorders>
              <w:top w:val="nil"/>
              <w:left w:val="single" w:sz="8" w:space="0" w:color="auto"/>
              <w:bottom w:val="single" w:sz="8" w:space="0" w:color="auto"/>
              <w:right w:val="nil"/>
            </w:tcBorders>
            <w:shd w:val="clear" w:color="auto" w:fill="auto"/>
            <w:noWrap/>
            <w:vAlign w:val="center"/>
            <w:hideMark/>
          </w:tcPr>
          <w:p w14:paraId="376C5813"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TOTAL</w:t>
            </w:r>
          </w:p>
        </w:tc>
        <w:tc>
          <w:tcPr>
            <w:tcW w:w="5421" w:type="dxa"/>
            <w:tcBorders>
              <w:top w:val="nil"/>
              <w:left w:val="nil"/>
              <w:bottom w:val="single" w:sz="8" w:space="0" w:color="auto"/>
              <w:right w:val="nil"/>
            </w:tcBorders>
            <w:shd w:val="clear" w:color="auto" w:fill="auto"/>
            <w:noWrap/>
            <w:vAlign w:val="center"/>
            <w:hideMark/>
          </w:tcPr>
          <w:p w14:paraId="527BAC50"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057" w:type="dxa"/>
            <w:tcBorders>
              <w:top w:val="nil"/>
              <w:left w:val="single" w:sz="4" w:space="0" w:color="auto"/>
              <w:bottom w:val="single" w:sz="8" w:space="0" w:color="auto"/>
              <w:right w:val="nil"/>
            </w:tcBorders>
            <w:shd w:val="clear" w:color="auto" w:fill="auto"/>
            <w:noWrap/>
            <w:vAlign w:val="center"/>
            <w:hideMark/>
          </w:tcPr>
          <w:p w14:paraId="6D8E69FA"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nil"/>
              <w:left w:val="nil"/>
              <w:bottom w:val="single" w:sz="8" w:space="0" w:color="auto"/>
              <w:right w:val="nil"/>
            </w:tcBorders>
            <w:shd w:val="clear" w:color="auto" w:fill="auto"/>
            <w:noWrap/>
            <w:vAlign w:val="center"/>
            <w:hideMark/>
          </w:tcPr>
          <w:p w14:paraId="0B8491C3"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66.03</w:t>
            </w:r>
          </w:p>
        </w:tc>
        <w:tc>
          <w:tcPr>
            <w:tcW w:w="1057" w:type="dxa"/>
            <w:tcBorders>
              <w:top w:val="nil"/>
              <w:left w:val="single" w:sz="4" w:space="0" w:color="auto"/>
              <w:bottom w:val="single" w:sz="8" w:space="0" w:color="auto"/>
              <w:right w:val="nil"/>
            </w:tcBorders>
            <w:shd w:val="clear" w:color="auto" w:fill="auto"/>
            <w:noWrap/>
            <w:vAlign w:val="center"/>
            <w:hideMark/>
          </w:tcPr>
          <w:p w14:paraId="77D895B7" w14:textId="77777777" w:rsidR="00646037" w:rsidRPr="00646037" w:rsidRDefault="00646037" w:rsidP="00646037">
            <w:pPr>
              <w:rPr>
                <w:rFonts w:ascii="Calibri" w:eastAsia="Times New Roman" w:hAnsi="Calibri" w:cs="Calibri"/>
                <w:color w:val="000000"/>
                <w:sz w:val="22"/>
                <w:szCs w:val="22"/>
              </w:rPr>
            </w:pPr>
            <w:r w:rsidRPr="00646037">
              <w:rPr>
                <w:rFonts w:ascii="Calibri" w:eastAsia="Times New Roman" w:hAnsi="Calibri" w:cs="Calibri"/>
                <w:color w:val="000000"/>
                <w:sz w:val="22"/>
                <w:szCs w:val="22"/>
              </w:rPr>
              <w:t> </w:t>
            </w:r>
          </w:p>
        </w:tc>
        <w:tc>
          <w:tcPr>
            <w:tcW w:w="1203" w:type="dxa"/>
            <w:tcBorders>
              <w:top w:val="nil"/>
              <w:left w:val="nil"/>
              <w:bottom w:val="single" w:sz="8" w:space="0" w:color="auto"/>
              <w:right w:val="single" w:sz="8" w:space="0" w:color="auto"/>
            </w:tcBorders>
            <w:shd w:val="clear" w:color="auto" w:fill="auto"/>
            <w:noWrap/>
            <w:vAlign w:val="center"/>
            <w:hideMark/>
          </w:tcPr>
          <w:p w14:paraId="4AF4904E" w14:textId="77777777" w:rsidR="00646037" w:rsidRPr="00646037" w:rsidRDefault="00646037" w:rsidP="00646037">
            <w:pPr>
              <w:jc w:val="center"/>
              <w:rPr>
                <w:rFonts w:ascii="Arial" w:eastAsia="Times New Roman" w:hAnsi="Arial" w:cs="Arial"/>
                <w:b/>
                <w:bCs/>
                <w:color w:val="000000"/>
                <w:sz w:val="18"/>
                <w:szCs w:val="18"/>
              </w:rPr>
            </w:pPr>
            <w:r w:rsidRPr="00646037">
              <w:rPr>
                <w:rFonts w:ascii="Arial" w:eastAsia="Times New Roman" w:hAnsi="Arial" w:cs="Arial"/>
                <w:b/>
                <w:bCs/>
                <w:color w:val="000000"/>
                <w:sz w:val="18"/>
                <w:szCs w:val="18"/>
              </w:rPr>
              <w:t>98.53</w:t>
            </w:r>
          </w:p>
        </w:tc>
      </w:tr>
    </w:tbl>
    <w:p w14:paraId="67947760" w14:textId="77777777" w:rsidR="00AA5F43" w:rsidRDefault="00AA5F43" w:rsidP="00764DBE">
      <w:pPr>
        <w:spacing w:after="200" w:line="276" w:lineRule="auto"/>
        <w:rPr>
          <w:rFonts w:ascii="Times New Roman" w:hAnsi="Times New Roman"/>
          <w:color w:val="1A1A1A"/>
        </w:rPr>
      </w:pPr>
    </w:p>
    <w:sectPr w:rsidR="00AA5F43" w:rsidSect="00011A86">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4909" w14:textId="77777777" w:rsidR="00646037" w:rsidRDefault="00646037" w:rsidP="00915B8B">
      <w:r>
        <w:separator/>
      </w:r>
    </w:p>
  </w:endnote>
  <w:endnote w:type="continuationSeparator" w:id="0">
    <w:p w14:paraId="08A83F57" w14:textId="77777777" w:rsidR="00646037" w:rsidRDefault="00646037" w:rsidP="0091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3C9C" w14:textId="77777777" w:rsidR="00646037" w:rsidRDefault="00646037" w:rsidP="00136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812F4" w14:textId="77777777" w:rsidR="00646037" w:rsidRDefault="00646037" w:rsidP="00915B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0A95" w14:textId="09CB64FD" w:rsidR="00646037" w:rsidRDefault="00646037" w:rsidP="00136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0B5D1" w14:textId="77777777" w:rsidR="00646037" w:rsidRDefault="00646037" w:rsidP="00915B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0909F" w14:textId="77777777" w:rsidR="00646037" w:rsidRDefault="00646037" w:rsidP="00915B8B">
      <w:r>
        <w:separator/>
      </w:r>
    </w:p>
  </w:footnote>
  <w:footnote w:type="continuationSeparator" w:id="0">
    <w:p w14:paraId="384D77AC" w14:textId="77777777" w:rsidR="00646037" w:rsidRDefault="00646037" w:rsidP="0091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8B"/>
    <w:rsid w:val="00011A86"/>
    <w:rsid w:val="00040204"/>
    <w:rsid w:val="00086721"/>
    <w:rsid w:val="00100584"/>
    <w:rsid w:val="00136637"/>
    <w:rsid w:val="00191AD1"/>
    <w:rsid w:val="00311EDA"/>
    <w:rsid w:val="003E1ECA"/>
    <w:rsid w:val="004347A1"/>
    <w:rsid w:val="00513BFF"/>
    <w:rsid w:val="00646037"/>
    <w:rsid w:val="00714254"/>
    <w:rsid w:val="00727A01"/>
    <w:rsid w:val="007375FA"/>
    <w:rsid w:val="00764DBE"/>
    <w:rsid w:val="0079482B"/>
    <w:rsid w:val="00874C6D"/>
    <w:rsid w:val="00896F0F"/>
    <w:rsid w:val="008E5159"/>
    <w:rsid w:val="00915B8B"/>
    <w:rsid w:val="00920BBF"/>
    <w:rsid w:val="00A33782"/>
    <w:rsid w:val="00AA5F43"/>
    <w:rsid w:val="00D46520"/>
    <w:rsid w:val="00DA1520"/>
    <w:rsid w:val="00E4157A"/>
    <w:rsid w:val="00E57B36"/>
    <w:rsid w:val="00E90CBA"/>
    <w:rsid w:val="00ED6888"/>
    <w:rsid w:val="00F7398B"/>
    <w:rsid w:val="00F8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54462"/>
  <w15:docId w15:val="{235B3E89-B03F-4BC9-A0CB-977C4636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8B"/>
    <w:pPr>
      <w:spacing w:after="0" w:line="240" w:lineRule="auto"/>
    </w:pPr>
    <w:rPr>
      <w:rFonts w:ascii="Cambria" w:eastAsia="MS ??"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782"/>
    <w:rPr>
      <w:color w:val="0000FF" w:themeColor="hyperlink"/>
      <w:u w:val="single"/>
    </w:rPr>
  </w:style>
  <w:style w:type="paragraph" w:styleId="Footer">
    <w:name w:val="footer"/>
    <w:basedOn w:val="Normal"/>
    <w:link w:val="FooterChar"/>
    <w:uiPriority w:val="99"/>
    <w:unhideWhenUsed/>
    <w:rsid w:val="00915B8B"/>
    <w:pPr>
      <w:tabs>
        <w:tab w:val="center" w:pos="4320"/>
        <w:tab w:val="right" w:pos="8640"/>
      </w:tabs>
    </w:pPr>
  </w:style>
  <w:style w:type="character" w:customStyle="1" w:styleId="FooterChar">
    <w:name w:val="Footer Char"/>
    <w:basedOn w:val="DefaultParagraphFont"/>
    <w:link w:val="Footer"/>
    <w:uiPriority w:val="99"/>
    <w:rsid w:val="00915B8B"/>
    <w:rPr>
      <w:rFonts w:ascii="Cambria" w:eastAsia="MS ??" w:hAnsi="Cambria" w:cs="Times New Roman"/>
      <w:sz w:val="24"/>
      <w:szCs w:val="24"/>
    </w:rPr>
  </w:style>
  <w:style w:type="character" w:styleId="PageNumber">
    <w:name w:val="page number"/>
    <w:basedOn w:val="DefaultParagraphFont"/>
    <w:uiPriority w:val="99"/>
    <w:semiHidden/>
    <w:unhideWhenUsed/>
    <w:rsid w:val="00915B8B"/>
  </w:style>
  <w:style w:type="paragraph" w:styleId="BalloonText">
    <w:name w:val="Balloon Text"/>
    <w:basedOn w:val="Normal"/>
    <w:link w:val="BalloonTextChar"/>
    <w:uiPriority w:val="99"/>
    <w:semiHidden/>
    <w:unhideWhenUsed/>
    <w:rsid w:val="00136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637"/>
    <w:rPr>
      <w:rFonts w:ascii="Lucida Grande" w:eastAsia="MS ??" w:hAnsi="Lucida Grande" w:cs="Lucida Grande"/>
      <w:sz w:val="18"/>
      <w:szCs w:val="18"/>
    </w:rPr>
  </w:style>
  <w:style w:type="paragraph" w:styleId="Header">
    <w:name w:val="header"/>
    <w:basedOn w:val="Normal"/>
    <w:link w:val="HeaderChar"/>
    <w:uiPriority w:val="99"/>
    <w:unhideWhenUsed/>
    <w:rsid w:val="00191AD1"/>
    <w:pPr>
      <w:tabs>
        <w:tab w:val="center" w:pos="4680"/>
        <w:tab w:val="right" w:pos="9360"/>
      </w:tabs>
    </w:pPr>
  </w:style>
  <w:style w:type="character" w:customStyle="1" w:styleId="HeaderChar">
    <w:name w:val="Header Char"/>
    <w:basedOn w:val="DefaultParagraphFont"/>
    <w:link w:val="Header"/>
    <w:uiPriority w:val="99"/>
    <w:rsid w:val="00191AD1"/>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5873">
      <w:bodyDiv w:val="1"/>
      <w:marLeft w:val="0"/>
      <w:marRight w:val="0"/>
      <w:marTop w:val="0"/>
      <w:marBottom w:val="0"/>
      <w:divBdr>
        <w:top w:val="none" w:sz="0" w:space="0" w:color="auto"/>
        <w:left w:val="none" w:sz="0" w:space="0" w:color="auto"/>
        <w:bottom w:val="none" w:sz="0" w:space="0" w:color="auto"/>
        <w:right w:val="none" w:sz="0" w:space="0" w:color="auto"/>
      </w:divBdr>
    </w:div>
    <w:div w:id="404956819">
      <w:bodyDiv w:val="1"/>
      <w:marLeft w:val="0"/>
      <w:marRight w:val="0"/>
      <w:marTop w:val="0"/>
      <w:marBottom w:val="0"/>
      <w:divBdr>
        <w:top w:val="none" w:sz="0" w:space="0" w:color="auto"/>
        <w:left w:val="none" w:sz="0" w:space="0" w:color="auto"/>
        <w:bottom w:val="none" w:sz="0" w:space="0" w:color="auto"/>
        <w:right w:val="none" w:sz="0" w:space="0" w:color="auto"/>
      </w:divBdr>
    </w:div>
    <w:div w:id="467475656">
      <w:bodyDiv w:val="1"/>
      <w:marLeft w:val="0"/>
      <w:marRight w:val="0"/>
      <w:marTop w:val="0"/>
      <w:marBottom w:val="0"/>
      <w:divBdr>
        <w:top w:val="none" w:sz="0" w:space="0" w:color="auto"/>
        <w:left w:val="none" w:sz="0" w:space="0" w:color="auto"/>
        <w:bottom w:val="none" w:sz="0" w:space="0" w:color="auto"/>
        <w:right w:val="none" w:sz="0" w:space="0" w:color="auto"/>
      </w:divBdr>
    </w:div>
    <w:div w:id="506020435">
      <w:bodyDiv w:val="1"/>
      <w:marLeft w:val="0"/>
      <w:marRight w:val="0"/>
      <w:marTop w:val="0"/>
      <w:marBottom w:val="0"/>
      <w:divBdr>
        <w:top w:val="none" w:sz="0" w:space="0" w:color="auto"/>
        <w:left w:val="none" w:sz="0" w:space="0" w:color="auto"/>
        <w:bottom w:val="none" w:sz="0" w:space="0" w:color="auto"/>
        <w:right w:val="none" w:sz="0" w:space="0" w:color="auto"/>
      </w:divBdr>
    </w:div>
    <w:div w:id="674722286">
      <w:bodyDiv w:val="1"/>
      <w:marLeft w:val="0"/>
      <w:marRight w:val="0"/>
      <w:marTop w:val="0"/>
      <w:marBottom w:val="0"/>
      <w:divBdr>
        <w:top w:val="none" w:sz="0" w:space="0" w:color="auto"/>
        <w:left w:val="none" w:sz="0" w:space="0" w:color="auto"/>
        <w:bottom w:val="none" w:sz="0" w:space="0" w:color="auto"/>
        <w:right w:val="none" w:sz="0" w:space="0" w:color="auto"/>
      </w:divBdr>
    </w:div>
    <w:div w:id="753819872">
      <w:bodyDiv w:val="1"/>
      <w:marLeft w:val="0"/>
      <w:marRight w:val="0"/>
      <w:marTop w:val="0"/>
      <w:marBottom w:val="0"/>
      <w:divBdr>
        <w:top w:val="none" w:sz="0" w:space="0" w:color="auto"/>
        <w:left w:val="none" w:sz="0" w:space="0" w:color="auto"/>
        <w:bottom w:val="none" w:sz="0" w:space="0" w:color="auto"/>
        <w:right w:val="none" w:sz="0" w:space="0" w:color="auto"/>
      </w:divBdr>
    </w:div>
    <w:div w:id="792671430">
      <w:bodyDiv w:val="1"/>
      <w:marLeft w:val="0"/>
      <w:marRight w:val="0"/>
      <w:marTop w:val="0"/>
      <w:marBottom w:val="0"/>
      <w:divBdr>
        <w:top w:val="none" w:sz="0" w:space="0" w:color="auto"/>
        <w:left w:val="none" w:sz="0" w:space="0" w:color="auto"/>
        <w:bottom w:val="none" w:sz="0" w:space="0" w:color="auto"/>
        <w:right w:val="none" w:sz="0" w:space="0" w:color="auto"/>
      </w:divBdr>
    </w:div>
    <w:div w:id="825438381">
      <w:bodyDiv w:val="1"/>
      <w:marLeft w:val="0"/>
      <w:marRight w:val="0"/>
      <w:marTop w:val="0"/>
      <w:marBottom w:val="0"/>
      <w:divBdr>
        <w:top w:val="none" w:sz="0" w:space="0" w:color="auto"/>
        <w:left w:val="none" w:sz="0" w:space="0" w:color="auto"/>
        <w:bottom w:val="none" w:sz="0" w:space="0" w:color="auto"/>
        <w:right w:val="none" w:sz="0" w:space="0" w:color="auto"/>
      </w:divBdr>
    </w:div>
    <w:div w:id="855731443">
      <w:bodyDiv w:val="1"/>
      <w:marLeft w:val="0"/>
      <w:marRight w:val="0"/>
      <w:marTop w:val="0"/>
      <w:marBottom w:val="0"/>
      <w:divBdr>
        <w:top w:val="none" w:sz="0" w:space="0" w:color="auto"/>
        <w:left w:val="none" w:sz="0" w:space="0" w:color="auto"/>
        <w:bottom w:val="none" w:sz="0" w:space="0" w:color="auto"/>
        <w:right w:val="none" w:sz="0" w:space="0" w:color="auto"/>
      </w:divBdr>
    </w:div>
    <w:div w:id="998578140">
      <w:bodyDiv w:val="1"/>
      <w:marLeft w:val="0"/>
      <w:marRight w:val="0"/>
      <w:marTop w:val="0"/>
      <w:marBottom w:val="0"/>
      <w:divBdr>
        <w:top w:val="none" w:sz="0" w:space="0" w:color="auto"/>
        <w:left w:val="none" w:sz="0" w:space="0" w:color="auto"/>
        <w:bottom w:val="none" w:sz="0" w:space="0" w:color="auto"/>
        <w:right w:val="none" w:sz="0" w:space="0" w:color="auto"/>
      </w:divBdr>
    </w:div>
    <w:div w:id="1032998536">
      <w:bodyDiv w:val="1"/>
      <w:marLeft w:val="0"/>
      <w:marRight w:val="0"/>
      <w:marTop w:val="0"/>
      <w:marBottom w:val="0"/>
      <w:divBdr>
        <w:top w:val="none" w:sz="0" w:space="0" w:color="auto"/>
        <w:left w:val="none" w:sz="0" w:space="0" w:color="auto"/>
        <w:bottom w:val="none" w:sz="0" w:space="0" w:color="auto"/>
        <w:right w:val="none" w:sz="0" w:space="0" w:color="auto"/>
      </w:divBdr>
    </w:div>
    <w:div w:id="1050569321">
      <w:bodyDiv w:val="1"/>
      <w:marLeft w:val="0"/>
      <w:marRight w:val="0"/>
      <w:marTop w:val="0"/>
      <w:marBottom w:val="0"/>
      <w:divBdr>
        <w:top w:val="none" w:sz="0" w:space="0" w:color="auto"/>
        <w:left w:val="none" w:sz="0" w:space="0" w:color="auto"/>
        <w:bottom w:val="none" w:sz="0" w:space="0" w:color="auto"/>
        <w:right w:val="none" w:sz="0" w:space="0" w:color="auto"/>
      </w:divBdr>
    </w:div>
    <w:div w:id="1194879848">
      <w:bodyDiv w:val="1"/>
      <w:marLeft w:val="0"/>
      <w:marRight w:val="0"/>
      <w:marTop w:val="0"/>
      <w:marBottom w:val="0"/>
      <w:divBdr>
        <w:top w:val="none" w:sz="0" w:space="0" w:color="auto"/>
        <w:left w:val="none" w:sz="0" w:space="0" w:color="auto"/>
        <w:bottom w:val="none" w:sz="0" w:space="0" w:color="auto"/>
        <w:right w:val="none" w:sz="0" w:space="0" w:color="auto"/>
      </w:divBdr>
    </w:div>
    <w:div w:id="1504128012">
      <w:bodyDiv w:val="1"/>
      <w:marLeft w:val="0"/>
      <w:marRight w:val="0"/>
      <w:marTop w:val="0"/>
      <w:marBottom w:val="0"/>
      <w:divBdr>
        <w:top w:val="none" w:sz="0" w:space="0" w:color="auto"/>
        <w:left w:val="none" w:sz="0" w:space="0" w:color="auto"/>
        <w:bottom w:val="none" w:sz="0" w:space="0" w:color="auto"/>
        <w:right w:val="none" w:sz="0" w:space="0" w:color="auto"/>
      </w:divBdr>
    </w:div>
    <w:div w:id="1561361131">
      <w:bodyDiv w:val="1"/>
      <w:marLeft w:val="0"/>
      <w:marRight w:val="0"/>
      <w:marTop w:val="0"/>
      <w:marBottom w:val="0"/>
      <w:divBdr>
        <w:top w:val="none" w:sz="0" w:space="0" w:color="auto"/>
        <w:left w:val="none" w:sz="0" w:space="0" w:color="auto"/>
        <w:bottom w:val="none" w:sz="0" w:space="0" w:color="auto"/>
        <w:right w:val="none" w:sz="0" w:space="0" w:color="auto"/>
      </w:divBdr>
    </w:div>
    <w:div w:id="1639073723">
      <w:bodyDiv w:val="1"/>
      <w:marLeft w:val="0"/>
      <w:marRight w:val="0"/>
      <w:marTop w:val="0"/>
      <w:marBottom w:val="0"/>
      <w:divBdr>
        <w:top w:val="none" w:sz="0" w:space="0" w:color="auto"/>
        <w:left w:val="none" w:sz="0" w:space="0" w:color="auto"/>
        <w:bottom w:val="none" w:sz="0" w:space="0" w:color="auto"/>
        <w:right w:val="none" w:sz="0" w:space="0" w:color="auto"/>
      </w:divBdr>
    </w:div>
    <w:div w:id="1677616508">
      <w:bodyDiv w:val="1"/>
      <w:marLeft w:val="0"/>
      <w:marRight w:val="0"/>
      <w:marTop w:val="0"/>
      <w:marBottom w:val="0"/>
      <w:divBdr>
        <w:top w:val="none" w:sz="0" w:space="0" w:color="auto"/>
        <w:left w:val="none" w:sz="0" w:space="0" w:color="auto"/>
        <w:bottom w:val="none" w:sz="0" w:space="0" w:color="auto"/>
        <w:right w:val="none" w:sz="0" w:space="0" w:color="auto"/>
      </w:divBdr>
    </w:div>
    <w:div w:id="1692294252">
      <w:bodyDiv w:val="1"/>
      <w:marLeft w:val="0"/>
      <w:marRight w:val="0"/>
      <w:marTop w:val="0"/>
      <w:marBottom w:val="0"/>
      <w:divBdr>
        <w:top w:val="none" w:sz="0" w:space="0" w:color="auto"/>
        <w:left w:val="none" w:sz="0" w:space="0" w:color="auto"/>
        <w:bottom w:val="none" w:sz="0" w:space="0" w:color="auto"/>
        <w:right w:val="none" w:sz="0" w:space="0" w:color="auto"/>
      </w:divBdr>
    </w:div>
    <w:div w:id="1692994567">
      <w:bodyDiv w:val="1"/>
      <w:marLeft w:val="0"/>
      <w:marRight w:val="0"/>
      <w:marTop w:val="0"/>
      <w:marBottom w:val="0"/>
      <w:divBdr>
        <w:top w:val="none" w:sz="0" w:space="0" w:color="auto"/>
        <w:left w:val="none" w:sz="0" w:space="0" w:color="auto"/>
        <w:bottom w:val="none" w:sz="0" w:space="0" w:color="auto"/>
        <w:right w:val="none" w:sz="0" w:space="0" w:color="auto"/>
      </w:divBdr>
    </w:div>
    <w:div w:id="1853103052">
      <w:bodyDiv w:val="1"/>
      <w:marLeft w:val="0"/>
      <w:marRight w:val="0"/>
      <w:marTop w:val="0"/>
      <w:marBottom w:val="0"/>
      <w:divBdr>
        <w:top w:val="none" w:sz="0" w:space="0" w:color="auto"/>
        <w:left w:val="none" w:sz="0" w:space="0" w:color="auto"/>
        <w:bottom w:val="none" w:sz="0" w:space="0" w:color="auto"/>
        <w:right w:val="none" w:sz="0" w:space="0" w:color="auto"/>
      </w:divBdr>
    </w:div>
    <w:div w:id="1926766413">
      <w:bodyDiv w:val="1"/>
      <w:marLeft w:val="0"/>
      <w:marRight w:val="0"/>
      <w:marTop w:val="0"/>
      <w:marBottom w:val="0"/>
      <w:divBdr>
        <w:top w:val="none" w:sz="0" w:space="0" w:color="auto"/>
        <w:left w:val="none" w:sz="0" w:space="0" w:color="auto"/>
        <w:bottom w:val="none" w:sz="0" w:space="0" w:color="auto"/>
        <w:right w:val="none" w:sz="0" w:space="0" w:color="auto"/>
      </w:divBdr>
    </w:div>
    <w:div w:id="20013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VS Document" ma:contentTypeID="0x010100F09ACAD99BE1B348A09561933AE5A55C000CB8C4056F2B3140B145213D772BFD16" ma:contentTypeVersion="1" ma:contentTypeDescription="" ma:contentTypeScope="" ma:versionID="2b096f36fd99bab628da105000a3a4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E121-7BAD-4D4F-969D-CD20CF9A0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3DBE2-DBC4-4E64-9D21-91B249AFC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77CEC0-A02E-4180-9429-385F28E0CC7B}">
  <ds:schemaRefs>
    <ds:schemaRef ds:uri="http://schemas.microsoft.com/sharepoint/v3/contenttype/forms"/>
  </ds:schemaRefs>
</ds:datastoreItem>
</file>

<file path=customXml/itemProps4.xml><?xml version="1.0" encoding="utf-8"?>
<ds:datastoreItem xmlns:ds="http://schemas.openxmlformats.org/officeDocument/2006/customXml" ds:itemID="{A6B42325-FB80-4AF7-9765-9E531D00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FEVAR Carrier Pricing Letter Word doc</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FEVAR Carrier Pricing Letter Word doc</dc:title>
  <dc:creator>Sideman, Matthew J</dc:creator>
  <cp:lastModifiedBy>Sideman, Matthew J</cp:lastModifiedBy>
  <cp:revision>4</cp:revision>
  <dcterms:created xsi:type="dcterms:W3CDTF">2020-04-17T13:34:00Z</dcterms:created>
  <dcterms:modified xsi:type="dcterms:W3CDTF">2020-04-17T15:34:00Z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0x010100F09ACAD99BE1B348A09561933AE5A55C000CB8C4056F2B3140B145213D772BFD16</vt:lpwstr>
  </property>
</Properties>
</file>